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080"/>
      </w:tblGrid>
      <w:tr>
        <w:tc>
          <w:tcPr>
            <w:tcW w:type="dxa" w:w="10080"/>
            <w:shd w:fill="17324D"/>
            <w:tcMar>
              <w:top w:w="130" w:type="dxa"/>
              <w:start w:w="160" w:type="dxa"/>
              <w:bottom w:w="130" w:type="dxa"/>
              <w:end w:w="160" w:type="dxa"/>
            </w:tcMar>
          </w:tcPr>
          <w:p>
            <w:pPr>
              <w:jc w:val="center"/>
            </w:pPr>
            <w:r>
              <w:rPr>
                <w:rFonts w:ascii="Aptos" w:hAnsi="Aptos"/>
                <w:b/>
                <w:color w:val="FFFFFF"/>
                <w:sz w:val="46"/>
              </w:rPr>
              <w:t>AI LAKAY NOU</w:t>
            </w:r>
          </w:p>
          <w:p>
            <w:pPr>
              <w:spacing w:before="20"/>
              <w:jc w:val="center"/>
            </w:pPr>
            <w:r>
              <w:rPr>
                <w:rFonts w:ascii="Aptos" w:hAnsi="Aptos"/>
                <w:b/>
                <w:color w:val="DCEAF0"/>
                <w:sz w:val="18"/>
              </w:rPr>
              <w:t>SPECIAL NEWS DISPATCH  •  WEBSITE PUBLICATION EDITION</w:t>
            </w:r>
          </w:p>
        </w:tc>
      </w:tr>
    </w:tbl>
    <w:p>
      <w:pPr>
        <w:spacing w:after="0"/>
      </w:pPr>
    </w:p>
    <w:p>
      <w:pPr>
        <w:spacing w:before="80" w:after="80"/>
      </w:pPr>
      <w:r>
        <w:rPr>
          <w:rFonts w:ascii="Aptos" w:hAnsi="Aptos"/>
          <w:b/>
          <w:color w:val="0B6B75"/>
          <w:sz w:val="17"/>
        </w:rPr>
        <w:t>AI GOVERNANCE  |  UNITED STATES  |  CHINA  |  PUBLIC-SECTOR AI</w:t>
      </w:r>
    </w:p>
    <w:p>
      <w:pPr>
        <w:spacing w:after="80"/>
        <w:jc w:val="left"/>
      </w:pPr>
      <w:r>
        <w:rPr>
          <w:rFonts w:ascii="Aptos" w:hAnsi="Aptos"/>
          <w:b/>
          <w:color w:val="17324D"/>
          <w:sz w:val="50"/>
        </w:rPr>
        <w:t>America, China, and the Battle Over Human Control of AI</w:t>
      </w:r>
    </w:p>
    <w:p>
      <w:pPr>
        <w:spacing w:after="140"/>
      </w:pPr>
      <w:r>
        <w:rPr>
          <w:rFonts w:ascii="Aptos" w:hAnsi="Aptos"/>
          <w:b w:val="0"/>
          <w:i/>
          <w:color w:val="5E6C78"/>
          <w:sz w:val="25"/>
        </w:rPr>
        <w:t>Two major developments raise one fundamental question: Who will ultimately control artificial intelligence—human beings, governments, corporations, or the machines themselves?</w:t>
      </w:r>
    </w:p>
    <w:tbl>
      <w:tblPr>
        <w:tblW w:type="auto" w:w="0"/>
        <w:jc w:val="center"/>
        <w:tblLayout w:type="fixed"/>
        <w:tblLook w:firstColumn="1" w:firstRow="1" w:lastColumn="0" w:lastRow="0" w:noHBand="0" w:noVBand="1" w:val="04A0"/>
      </w:tblPr>
      <w:tblGrid>
        <w:gridCol w:w="1440"/>
        <w:gridCol w:w="2880"/>
        <w:gridCol w:w="1296"/>
        <w:gridCol w:w="4464"/>
      </w:tblGrid>
      <w:tr>
        <w:tc>
          <w:tcPr>
            <w:tcW w:type="dxa" w:w="2520"/>
            <w:tcMar>
              <w:top w:w="60" w:type="dxa"/>
              <w:start w:w="80" w:type="dxa"/>
              <w:bottom w:w="60" w:type="dxa"/>
              <w:end w:w="80" w:type="dxa"/>
            </w:tcMar>
            <w:shd w:fill="F7F8FA"/>
            <w:tcBorders>
              <w:bottom w:val="single" w:sz="2" w:color="E4E9ED"/>
            </w:tcBorders>
          </w:tcPr>
          <w:p>
            <w:r>
              <w:rPr>
                <w:rFonts w:ascii="Aptos" w:hAnsi="Aptos"/>
                <w:b/>
                <w:color w:val="0B6B75"/>
                <w:sz w:val="17"/>
              </w:rPr>
              <w:t>Published</w:t>
            </w:r>
          </w:p>
        </w:tc>
        <w:tc>
          <w:tcPr>
            <w:tcW w:type="dxa" w:w="2520"/>
            <w:tcMar>
              <w:top w:w="60" w:type="dxa"/>
              <w:start w:w="80" w:type="dxa"/>
              <w:bottom w:w="60" w:type="dxa"/>
              <w:end w:w="80" w:type="dxa"/>
            </w:tcMar>
            <w:shd w:fill="F7F8FA"/>
            <w:tcBorders>
              <w:bottom w:val="single" w:sz="2" w:color="E4E9ED"/>
            </w:tcBorders>
          </w:tcPr>
          <w:p>
            <w:r>
              <w:rPr>
                <w:rFonts w:ascii="Aptos" w:hAnsi="Aptos"/>
                <w:b w:val="0"/>
                <w:color w:val="1F2933"/>
                <w:sz w:val="17"/>
              </w:rPr>
              <w:t>September 18, 2026</w:t>
            </w:r>
          </w:p>
        </w:tc>
        <w:tc>
          <w:tcPr>
            <w:tcW w:type="dxa" w:w="2520"/>
            <w:tcMar>
              <w:top w:w="60" w:type="dxa"/>
              <w:start w:w="80" w:type="dxa"/>
              <w:bottom w:w="60" w:type="dxa"/>
              <w:end w:w="80" w:type="dxa"/>
            </w:tcMar>
            <w:shd w:fill="F7F8FA"/>
            <w:tcBorders>
              <w:bottom w:val="single" w:sz="2" w:color="E4E9ED"/>
            </w:tcBorders>
          </w:tcPr>
          <w:p>
            <w:r>
              <w:rPr>
                <w:rFonts w:ascii="Aptos" w:hAnsi="Aptos"/>
                <w:b/>
                <w:color w:val="0B6B75"/>
                <w:sz w:val="17"/>
              </w:rPr>
              <w:t>Format</w:t>
            </w:r>
          </w:p>
        </w:tc>
        <w:tc>
          <w:tcPr>
            <w:tcW w:type="dxa" w:w="2520"/>
            <w:tcMar>
              <w:top w:w="60" w:type="dxa"/>
              <w:start w:w="80" w:type="dxa"/>
              <w:bottom w:w="60" w:type="dxa"/>
              <w:end w:w="80" w:type="dxa"/>
            </w:tcMar>
            <w:shd w:fill="F7F8FA"/>
            <w:tcBorders>
              <w:bottom w:val="single" w:sz="2" w:color="E4E9ED"/>
            </w:tcBorders>
          </w:tcPr>
          <w:p>
            <w:r>
              <w:rPr>
                <w:rFonts w:ascii="Aptos" w:hAnsi="Aptos"/>
                <w:b w:val="0"/>
                <w:color w:val="1F2933"/>
                <w:sz w:val="17"/>
              </w:rPr>
              <w:t>Website Special Report</w:t>
            </w:r>
          </w:p>
        </w:tc>
      </w:tr>
      <w:tr>
        <w:tc>
          <w:tcPr>
            <w:tcW w:type="dxa" w:w="2520"/>
            <w:tcMar>
              <w:top w:w="60" w:type="dxa"/>
              <w:start w:w="80" w:type="dxa"/>
              <w:bottom w:w="60" w:type="dxa"/>
              <w:end w:w="80" w:type="dxa"/>
            </w:tcMar>
            <w:shd w:fill="FFFFFF"/>
            <w:tcBorders>
              <w:bottom w:val="single" w:sz="2" w:color="E4E9ED"/>
            </w:tcBorders>
          </w:tcPr>
          <w:p>
            <w:r>
              <w:rPr>
                <w:rFonts w:ascii="Aptos" w:hAnsi="Aptos"/>
                <w:b/>
                <w:color w:val="0B6B75"/>
                <w:sz w:val="17"/>
              </w:rPr>
              <w:t>Publisher</w:t>
            </w:r>
          </w:p>
        </w:tc>
        <w:tc>
          <w:tcPr>
            <w:tcW w:type="dxa" w:w="2520"/>
            <w:tcMar>
              <w:top w:w="60" w:type="dxa"/>
              <w:start w:w="80" w:type="dxa"/>
              <w:bottom w:w="60" w:type="dxa"/>
              <w:end w:w="80" w:type="dxa"/>
            </w:tcMar>
            <w:shd w:fill="FFFFFF"/>
            <w:tcBorders>
              <w:bottom w:val="single" w:sz="2" w:color="E4E9ED"/>
            </w:tcBorders>
          </w:tcPr>
          <w:p>
            <w:r>
              <w:rPr>
                <w:rFonts w:ascii="Aptos" w:hAnsi="Aptos"/>
                <w:b w:val="0"/>
                <w:color w:val="1F2933"/>
                <w:sz w:val="17"/>
              </w:rPr>
              <w:t>AI LAKAY NOU</w:t>
            </w:r>
          </w:p>
        </w:tc>
        <w:tc>
          <w:tcPr>
            <w:tcW w:type="dxa" w:w="2520"/>
            <w:tcMar>
              <w:top w:w="60" w:type="dxa"/>
              <w:start w:w="80" w:type="dxa"/>
              <w:bottom w:w="60" w:type="dxa"/>
              <w:end w:w="80" w:type="dxa"/>
            </w:tcMar>
            <w:shd w:fill="FFFFFF"/>
            <w:tcBorders>
              <w:bottom w:val="single" w:sz="2" w:color="E4E9ED"/>
            </w:tcBorders>
          </w:tcPr>
          <w:p>
            <w:r>
              <w:rPr>
                <w:rFonts w:ascii="Aptos" w:hAnsi="Aptos"/>
                <w:b/>
                <w:color w:val="0B6B75"/>
                <w:sz w:val="17"/>
              </w:rPr>
              <w:t>Website</w:t>
            </w:r>
          </w:p>
        </w:tc>
        <w:tc>
          <w:tcPr>
            <w:tcW w:type="dxa" w:w="2520"/>
            <w:tcMar>
              <w:top w:w="60" w:type="dxa"/>
              <w:start w:w="80" w:type="dxa"/>
              <w:bottom w:w="60" w:type="dxa"/>
              <w:end w:w="80" w:type="dxa"/>
            </w:tcMar>
            <w:shd w:fill="FFFFFF"/>
            <w:tcBorders>
              <w:bottom w:val="single" w:sz="2" w:color="E4E9ED"/>
            </w:tcBorders>
          </w:tcPr>
          <w:p>
            <w:r>
              <w:rPr>
                <w:rFonts w:ascii="Aptos" w:hAnsi="Aptos"/>
                <w:b w:val="0"/>
                <w:color w:val="1F2933"/>
                <w:sz w:val="17"/>
              </w:rPr>
              <w:t>AILakayNou.com</w:t>
            </w:r>
          </w:p>
        </w:tc>
      </w:tr>
    </w:tbl>
    <w:p>
      <w:pPr>
        <w:spacing w:after="20"/>
      </w:pPr>
    </w:p>
    <w:tbl>
      <w:tblPr>
        <w:tblW w:type="auto" w:w="0"/>
        <w:jc w:val="center"/>
        <w:tblLayout w:type="fixed"/>
        <w:tblLook w:firstColumn="1" w:firstRow="1" w:lastColumn="0" w:lastRow="0" w:noHBand="0" w:noVBand="1" w:val="04A0"/>
      </w:tblPr>
      <w:tblGrid>
        <w:gridCol w:w="9936"/>
      </w:tblGrid>
      <w:tr>
        <w:tc>
          <w:tcPr>
            <w:tcW w:type="dxa" w:w="10080"/>
            <w:shd w:fill="E9F3F4"/>
            <w:tcMar>
              <w:top w:w="110" w:type="dxa"/>
              <w:start w:w="140" w:type="dxa"/>
              <w:bottom w:w="110" w:type="dxa"/>
              <w:end w:w="140" w:type="dxa"/>
            </w:tcMar>
            <w:tcBorders>
              <w:top w:val="nil"/>
              <w:left w:val="single" w:sz="18" w:color="0B6B75"/>
              <w:bottom w:val="nil"/>
              <w:right w:val="nil"/>
            </w:tcBorders>
          </w:tcPr>
          <w:p>
            <w:pPr>
              <w:spacing w:after="60"/>
            </w:pPr>
            <w:r>
              <w:rPr>
                <w:rFonts w:ascii="Aptos" w:hAnsi="Aptos"/>
                <w:b/>
                <w:color w:val="0B6B75"/>
                <w:sz w:val="18"/>
              </w:rPr>
              <w:t>THE CENTRAL ISSUE</w:t>
            </w:r>
          </w:p>
          <w:p>
            <w:pPr>
              <w:spacing w:after="0"/>
            </w:pPr>
            <w:r>
              <w:rPr>
                <w:rFonts w:ascii="Aptos" w:hAnsi="Aptos"/>
                <w:b/>
                <w:color w:val="1F2933"/>
                <w:sz w:val="21"/>
              </w:rPr>
              <w:t>As AI becomes more powerful and more deeply integrated into society, will human beings retain ultimate authority, accountability, and control?</w:t>
            </w:r>
          </w:p>
        </w:tc>
      </w:tr>
    </w:tbl>
    <w:p>
      <w:pPr>
        <w:spacing w:after="20"/>
      </w:pPr>
    </w:p>
    <w:p>
      <w:pPr>
        <w:spacing w:before="160" w:after="40"/>
      </w:pPr>
      <w:r>
        <w:rPr>
          <w:rFonts w:ascii="Aptos" w:hAnsi="Aptos"/>
          <w:b/>
          <w:color w:val="0B6B75"/>
          <w:sz w:val="17"/>
        </w:rPr>
        <w:t>READY FOR CMS</w:t>
      </w:r>
    </w:p>
    <w:p>
      <w:pPr>
        <w:keepNext/>
        <w:spacing w:before="80" w:after="100"/>
      </w:pPr>
      <w:r>
        <w:rPr>
          <w:rFonts w:ascii="Aptos" w:hAnsi="Aptos"/>
          <w:b/>
          <w:color w:val="17324D"/>
          <w:sz w:val="34"/>
        </w:rPr>
        <w:t>Website Publishing Package</w:t>
      </w:r>
    </w:p>
    <w:tbl>
      <w:tblPr>
        <w:tblW w:type="auto" w:w="0"/>
        <w:jc w:val="center"/>
        <w:tblLayout w:type="fixed"/>
        <w:tblLook w:firstColumn="1" w:firstRow="1" w:lastColumn="0" w:lastRow="0" w:noHBand="0" w:noVBand="1" w:val="04A0"/>
      </w:tblPr>
      <w:tblGrid>
        <w:gridCol w:w="2232"/>
        <w:gridCol w:w="7704"/>
      </w:tblGrid>
      <w:tr>
        <w:tc>
          <w:tcPr>
            <w:tcW w:type="dxa" w:w="5040"/>
            <w:tcMar>
              <w:top w:w="70" w:type="dxa"/>
              <w:start w:w="90" w:type="dxa"/>
              <w:bottom w:w="70" w:type="dxa"/>
              <w:end w:w="90" w:type="dxa"/>
            </w:tcMar>
            <w:tcBorders>
              <w:bottom w:val="single" w:sz="2" w:color="D9E2E7"/>
            </w:tcBorders>
            <w:shd w:fill="EDF3F5"/>
          </w:tcPr>
          <w:p>
            <w:r>
              <w:rPr>
                <w:rFonts w:ascii="Aptos" w:hAnsi="Aptos"/>
                <w:b/>
                <w:color w:val="0B6B75"/>
                <w:sz w:val="17"/>
              </w:rPr>
              <w:t>Suggested URL slug</w:t>
            </w:r>
          </w:p>
        </w:tc>
        <w:tc>
          <w:tcPr>
            <w:tcW w:type="dxa" w:w="5040"/>
            <w:tcMar>
              <w:top w:w="70" w:type="dxa"/>
              <w:start w:w="90" w:type="dxa"/>
              <w:bottom w:w="70" w:type="dxa"/>
              <w:end w:w="90" w:type="dxa"/>
            </w:tcMar>
            <w:tcBorders>
              <w:bottom w:val="single" w:sz="2" w:color="D9E2E7"/>
            </w:tcBorders>
          </w:tcPr>
          <w:p>
            <w:r>
              <w:rPr>
                <w:rFonts w:ascii="Aptos" w:hAnsi="Aptos"/>
                <w:color w:val="1F2933"/>
                <w:sz w:val="18"/>
              </w:rPr>
              <w:t>us-china-ai-guardrails-america-gov-human-control</w:t>
            </w:r>
          </w:p>
        </w:tc>
      </w:tr>
      <w:tr>
        <w:tc>
          <w:tcPr>
            <w:tcW w:type="dxa" w:w="5040"/>
            <w:tcMar>
              <w:top w:w="70" w:type="dxa"/>
              <w:start w:w="90" w:type="dxa"/>
              <w:bottom w:w="70" w:type="dxa"/>
              <w:end w:w="90" w:type="dxa"/>
            </w:tcMar>
            <w:tcBorders>
              <w:bottom w:val="single" w:sz="2" w:color="D9E2E7"/>
            </w:tcBorders>
            <w:shd w:fill="EDF3F5"/>
          </w:tcPr>
          <w:p>
            <w:r>
              <w:rPr>
                <w:rFonts w:ascii="Aptos" w:hAnsi="Aptos"/>
                <w:b/>
                <w:color w:val="0B6B75"/>
                <w:sz w:val="17"/>
              </w:rPr>
              <w:t>Category</w:t>
            </w:r>
          </w:p>
        </w:tc>
        <w:tc>
          <w:tcPr>
            <w:tcW w:type="dxa" w:w="5040"/>
            <w:tcMar>
              <w:top w:w="70" w:type="dxa"/>
              <w:start w:w="90" w:type="dxa"/>
              <w:bottom w:w="70" w:type="dxa"/>
              <w:end w:w="90" w:type="dxa"/>
            </w:tcMar>
            <w:tcBorders>
              <w:bottom w:val="single" w:sz="2" w:color="D9E2E7"/>
            </w:tcBorders>
          </w:tcPr>
          <w:p>
            <w:r>
              <w:rPr>
                <w:rFonts w:ascii="Aptos" w:hAnsi="Aptos"/>
                <w:color w:val="1F2933"/>
                <w:sz w:val="18"/>
              </w:rPr>
              <w:t>AI Governance &amp; Society</w:t>
            </w:r>
          </w:p>
        </w:tc>
      </w:tr>
      <w:tr>
        <w:tc>
          <w:tcPr>
            <w:tcW w:type="dxa" w:w="5040"/>
            <w:tcMar>
              <w:top w:w="70" w:type="dxa"/>
              <w:start w:w="90" w:type="dxa"/>
              <w:bottom w:w="70" w:type="dxa"/>
              <w:end w:w="90" w:type="dxa"/>
            </w:tcMar>
            <w:tcBorders>
              <w:bottom w:val="single" w:sz="2" w:color="D9E2E7"/>
            </w:tcBorders>
            <w:shd w:fill="EDF3F5"/>
          </w:tcPr>
          <w:p>
            <w:r>
              <w:rPr>
                <w:rFonts w:ascii="Aptos" w:hAnsi="Aptos"/>
                <w:b/>
                <w:color w:val="0B6B75"/>
                <w:sz w:val="17"/>
              </w:rPr>
              <w:t>Suggested tags</w:t>
            </w:r>
          </w:p>
        </w:tc>
        <w:tc>
          <w:tcPr>
            <w:tcW w:type="dxa" w:w="5040"/>
            <w:tcMar>
              <w:top w:w="70" w:type="dxa"/>
              <w:start w:w="90" w:type="dxa"/>
              <w:bottom w:w="70" w:type="dxa"/>
              <w:end w:w="90" w:type="dxa"/>
            </w:tcMar>
            <w:tcBorders>
              <w:bottom w:val="single" w:sz="2" w:color="D9E2E7"/>
            </w:tcBorders>
          </w:tcPr>
          <w:p>
            <w:r>
              <w:rPr>
                <w:rFonts w:ascii="Aptos" w:hAnsi="Aptos"/>
                <w:color w:val="1F2933"/>
                <w:sz w:val="18"/>
              </w:rPr>
              <w:t>AI governance; United States; China; public-sector AI; human control; government services; Haiti; Global South</w:t>
            </w:r>
          </w:p>
        </w:tc>
      </w:tr>
      <w:tr>
        <w:tc>
          <w:tcPr>
            <w:tcW w:type="dxa" w:w="5040"/>
            <w:tcMar>
              <w:top w:w="70" w:type="dxa"/>
              <w:start w:w="90" w:type="dxa"/>
              <w:bottom w:w="70" w:type="dxa"/>
              <w:end w:w="90" w:type="dxa"/>
            </w:tcMar>
            <w:tcBorders>
              <w:bottom w:val="single" w:sz="2" w:color="D9E2E7"/>
            </w:tcBorders>
            <w:shd w:fill="EDF3F5"/>
          </w:tcPr>
          <w:p>
            <w:r>
              <w:rPr>
                <w:rFonts w:ascii="Aptos" w:hAnsi="Aptos"/>
                <w:b/>
                <w:color w:val="0B6B75"/>
                <w:sz w:val="17"/>
              </w:rPr>
              <w:t>Meta description</w:t>
            </w:r>
          </w:p>
        </w:tc>
        <w:tc>
          <w:tcPr>
            <w:tcW w:type="dxa" w:w="5040"/>
            <w:tcMar>
              <w:top w:w="70" w:type="dxa"/>
              <w:start w:w="90" w:type="dxa"/>
              <w:bottom w:w="70" w:type="dxa"/>
              <w:end w:w="90" w:type="dxa"/>
            </w:tcMar>
            <w:tcBorders>
              <w:bottom w:val="single" w:sz="2" w:color="D9E2E7"/>
            </w:tcBorders>
          </w:tcPr>
          <w:p>
            <w:r>
              <w:rPr>
                <w:rFonts w:ascii="Aptos" w:hAnsi="Aptos"/>
                <w:color w:val="1F2933"/>
                <w:sz w:val="18"/>
              </w:rPr>
              <w:t>The United States and China both want AI guardrails, while a reported U.S. federal portal could place AI between citizens and government services. AI LAKAY NOU examines the stakes for human authority, accountability, and the Global South.</w:t>
            </w:r>
          </w:p>
        </w:tc>
      </w:tr>
      <w:tr>
        <w:tc>
          <w:tcPr>
            <w:tcW w:type="dxa" w:w="5040"/>
            <w:tcMar>
              <w:top w:w="70" w:type="dxa"/>
              <w:start w:w="90" w:type="dxa"/>
              <w:bottom w:w="70" w:type="dxa"/>
              <w:end w:w="90" w:type="dxa"/>
            </w:tcMar>
            <w:tcBorders>
              <w:bottom w:val="single" w:sz="2" w:color="D9E2E7"/>
            </w:tcBorders>
            <w:shd w:fill="EDF3F5"/>
          </w:tcPr>
          <w:p>
            <w:r>
              <w:rPr>
                <w:rFonts w:ascii="Aptos" w:hAnsi="Aptos"/>
                <w:b/>
                <w:color w:val="0B6B75"/>
                <w:sz w:val="17"/>
              </w:rPr>
              <w:t>Featured pull quote</w:t>
            </w:r>
          </w:p>
        </w:tc>
        <w:tc>
          <w:tcPr>
            <w:tcW w:type="dxa" w:w="5040"/>
            <w:tcMar>
              <w:top w:w="70" w:type="dxa"/>
              <w:start w:w="90" w:type="dxa"/>
              <w:bottom w:w="70" w:type="dxa"/>
              <w:end w:w="90" w:type="dxa"/>
            </w:tcMar>
            <w:tcBorders>
              <w:bottom w:val="single" w:sz="2" w:color="D9E2E7"/>
            </w:tcBorders>
          </w:tcPr>
          <w:p>
            <w:r>
              <w:rPr>
                <w:rFonts w:ascii="Aptos" w:hAnsi="Aptos"/>
                <w:color w:val="1F2933"/>
                <w:sz w:val="18"/>
              </w:rPr>
              <w:t>“Technology can assist government. It should not erase accountable human authority.”</w:t>
            </w:r>
          </w:p>
        </w:tc>
      </w:tr>
      <w:tr>
        <w:tc>
          <w:tcPr>
            <w:tcW w:type="dxa" w:w="5040"/>
            <w:tcMar>
              <w:top w:w="70" w:type="dxa"/>
              <w:start w:w="90" w:type="dxa"/>
              <w:bottom w:w="70" w:type="dxa"/>
              <w:end w:w="90" w:type="dxa"/>
            </w:tcMar>
            <w:tcBorders>
              <w:bottom w:val="single" w:sz="2" w:color="D9E2E7"/>
            </w:tcBorders>
            <w:shd w:fill="EDF3F5"/>
          </w:tcPr>
          <w:p>
            <w:r>
              <w:rPr>
                <w:rFonts w:ascii="Aptos" w:hAnsi="Aptos"/>
                <w:b/>
                <w:color w:val="0B6B75"/>
                <w:sz w:val="17"/>
              </w:rPr>
              <w:t>Editorial status</w:t>
            </w:r>
          </w:p>
        </w:tc>
        <w:tc>
          <w:tcPr>
            <w:tcW w:type="dxa" w:w="5040"/>
            <w:tcMar>
              <w:top w:w="70" w:type="dxa"/>
              <w:start w:w="90" w:type="dxa"/>
              <w:bottom w:w="70" w:type="dxa"/>
              <w:end w:w="90" w:type="dxa"/>
            </w:tcMar>
            <w:tcBorders>
              <w:bottom w:val="single" w:sz="2" w:color="D9E2E7"/>
            </w:tcBorders>
          </w:tcPr>
          <w:p>
            <w:r>
              <w:rPr>
                <w:rFonts w:ascii="Aptos" w:hAnsi="Aptos"/>
                <w:color w:val="1F2933"/>
                <w:sz w:val="18"/>
              </w:rPr>
              <w:t>Publication-ready special report; America.gov is described as a reported developing initiative, not an established nationwide service.</w:t>
            </w:r>
          </w:p>
        </w:tc>
      </w:tr>
    </w:tbl>
    <w:p>
      <w:pPr>
        <w:spacing w:after="20"/>
      </w:pPr>
    </w:p>
    <w:p>
      <w:pPr>
        <w:spacing w:before="160" w:after="40"/>
      </w:pPr>
      <w:r>
        <w:rPr>
          <w:rFonts w:ascii="Aptos" w:hAnsi="Aptos"/>
          <w:b/>
          <w:color w:val="0B6B75"/>
          <w:sz w:val="17"/>
        </w:rPr>
        <w:t>WHAT HAPPENED</w:t>
      </w:r>
    </w:p>
    <w:p>
      <w:pPr>
        <w:keepNext/>
        <w:spacing w:before="80" w:after="100"/>
      </w:pPr>
      <w:r>
        <w:rPr>
          <w:rFonts w:ascii="Aptos" w:hAnsi="Aptos"/>
          <w:b/>
          <w:color w:val="17324D"/>
          <w:sz w:val="34"/>
        </w:rPr>
        <w:t>Executive Summary</w:t>
      </w:r>
    </w:p>
    <w:p>
      <w:pPr>
        <w:spacing w:after="140" w:line="259" w:lineRule="auto"/>
      </w:pPr>
      <w:r>
        <w:rPr>
          <w:rFonts w:ascii="Aptos" w:hAnsi="Aptos"/>
          <w:color w:val="1F2933"/>
          <w:sz w:val="21"/>
        </w:rPr>
        <w:t>Two reports published this week illustrate how rapidly artificial intelligence is moving from the laboratory and private technology industry into the machinery of government. One concerns the growing competition between the United States and China over AI governance and safety. The other concerns a reported U.S. government initiative called America.gov, which could use an artificial-intelligence chatbot as a central interface through which Americans interact with federal services.</w:t>
      </w:r>
    </w:p>
    <w:p>
      <w:pPr>
        <w:spacing w:after="140" w:line="259" w:lineRule="auto"/>
      </w:pPr>
      <w:r>
        <w:rPr>
          <w:rFonts w:ascii="Aptos" w:hAnsi="Aptos"/>
          <w:color w:val="1F2933"/>
          <w:sz w:val="21"/>
        </w:rPr>
        <w:t>Together, the stories expose two distinct but connected questions: How should governments regulate increasingly capable AI systems, and how much governmental authority should institutions themselves exercise through AI?</w:t>
      </w:r>
    </w:p>
    <w:tbl>
      <w:tblPr>
        <w:tblW w:type="auto" w:w="0"/>
        <w:jc w:val="center"/>
        <w:tblLayout w:type="fixed"/>
        <w:tblLook w:firstColumn="1" w:firstRow="1" w:lastColumn="0" w:lastRow="0" w:noHBand="0" w:noVBand="1" w:val="04A0"/>
      </w:tblPr>
      <w:tblGrid>
        <w:gridCol w:w="9936"/>
      </w:tblGrid>
      <w:tr>
        <w:tc>
          <w:tcPr>
            <w:tcW w:type="dxa" w:w="10080"/>
            <w:shd w:fill="F5F0E4"/>
            <w:tcMar>
              <w:top w:w="110" w:type="dxa"/>
              <w:start w:w="140" w:type="dxa"/>
              <w:bottom w:w="110" w:type="dxa"/>
              <w:end w:w="140" w:type="dxa"/>
            </w:tcMar>
            <w:tcBorders>
              <w:top w:val="single" w:sz="2" w:color="E4D6B0"/>
              <w:left w:val="single" w:sz="18" w:color="B58B2A"/>
              <w:bottom w:val="single" w:sz="2" w:color="E4D6B0"/>
              <w:right w:val="single" w:sz="2" w:color="E4D6B0"/>
            </w:tcBorders>
          </w:tcPr>
          <w:p>
            <w:r>
              <w:rPr>
                <w:rFonts w:ascii="Aptos" w:hAnsi="Aptos"/>
                <w:b/>
                <w:color w:val="B58B2A"/>
                <w:sz w:val="18"/>
              </w:rPr>
              <w:t>KEY TAKEAWAYS</w:t>
            </w:r>
          </w:p>
          <w:p>
            <w:pPr>
              <w:pStyle w:val="ListBullet"/>
              <w:spacing w:after="40"/>
            </w:pPr>
            <w:r>
              <w:rPr>
                <w:rFonts w:ascii="Aptos" w:hAnsi="Aptos"/>
                <w:color w:val="1F2933"/>
                <w:sz w:val="19"/>
              </w:rPr>
              <w:t>The United States and China both recognize AI risks, but their governance systems emphasize different political, regulatory, and security priorities.</w:t>
            </w:r>
          </w:p>
          <w:p>
            <w:pPr>
              <w:pStyle w:val="ListBullet"/>
              <w:spacing w:after="40"/>
            </w:pPr>
            <w:r>
              <w:rPr>
                <w:rFonts w:ascii="Aptos" w:hAnsi="Aptos"/>
                <w:color w:val="1F2933"/>
                <w:sz w:val="19"/>
              </w:rPr>
              <w:t>China’s recent official frameworks also address cybersecurity, privacy, malicious use, testing, critical infrastructure, and keeping AI under human control.</w:t>
            </w:r>
          </w:p>
          <w:p>
            <w:pPr>
              <w:pStyle w:val="ListBullet"/>
              <w:spacing w:after="40"/>
            </w:pPr>
            <w:r>
              <w:rPr>
                <w:rFonts w:ascii="Aptos" w:hAnsi="Aptos"/>
                <w:color w:val="1F2933"/>
                <w:sz w:val="19"/>
              </w:rPr>
              <w:t>A reported U.S. initiative, America.gov, could make an AI chatbot a primary gateway to some federal services, but the project has been reported as under development rather than an operational nationwide system.</w:t>
            </w:r>
          </w:p>
          <w:p>
            <w:pPr>
              <w:pStyle w:val="ListBullet"/>
              <w:spacing w:after="40"/>
            </w:pPr>
            <w:r>
              <w:rPr>
                <w:rFonts w:ascii="Aptos" w:hAnsi="Aptos"/>
                <w:color w:val="1F2933"/>
                <w:sz w:val="19"/>
              </w:rPr>
              <w:t>The core governance issue is not only what AI can do, but what authority humans and institutions should delegate to it.</w:t>
            </w:r>
          </w:p>
          <w:p>
            <w:pPr>
              <w:pStyle w:val="ListBullet"/>
              <w:spacing w:after="40"/>
            </w:pPr>
            <w:r>
              <w:rPr>
                <w:rFonts w:ascii="Aptos" w:hAnsi="Aptos"/>
                <w:color w:val="1F2933"/>
                <w:sz w:val="19"/>
              </w:rPr>
              <w:t>For Haiti and the Global South, AI adoption should be paired with institutional capacity, cybersecurity, legal safeguards, multilingual access, and AI literacy.</w:t>
            </w:r>
          </w:p>
        </w:tc>
      </w:tr>
    </w:tbl>
    <w:p>
      <w:r>
        <w:br w:type="page"/>
      </w:r>
    </w:p>
    <w:p>
      <w:pPr>
        <w:spacing w:before="160" w:after="40"/>
      </w:pPr>
      <w:r>
        <w:rPr>
          <w:rFonts w:ascii="Aptos" w:hAnsi="Aptos"/>
          <w:b/>
          <w:color w:val="0B6B75"/>
          <w:sz w:val="17"/>
        </w:rPr>
        <w:t>STORY 1</w:t>
      </w:r>
    </w:p>
    <w:p>
      <w:pPr>
        <w:keepNext/>
        <w:spacing w:before="80" w:after="100"/>
      </w:pPr>
      <w:r>
        <w:rPr>
          <w:rFonts w:ascii="Aptos" w:hAnsi="Aptos"/>
          <w:b/>
          <w:color w:val="17324D"/>
          <w:sz w:val="34"/>
        </w:rPr>
        <w:t>The United States and China Both Want AI Guardrails — But Not Necessarily the Same Guardrails</w:t>
      </w:r>
    </w:p>
    <w:p>
      <w:pPr>
        <w:spacing w:after="140" w:line="259" w:lineRule="auto"/>
      </w:pPr>
      <w:r>
        <w:rPr>
          <w:rFonts w:ascii="Aptos" w:hAnsi="Aptos"/>
          <w:color w:val="1F2933"/>
          <w:sz w:val="21"/>
        </w:rPr>
        <w:t>A September 18, 2026 Wall Street Journal report examines an emerging paradox in the global AI race: the United States and China increasingly acknowledge that powerful artificial-intelligence systems require safeguards, yet the two countries approach AI governance from significantly different political, economic, and security perspectives.</w:t>
      </w:r>
    </w:p>
    <w:p>
      <w:pPr>
        <w:keepNext/>
        <w:spacing w:before="60" w:after="100"/>
      </w:pPr>
      <w:r>
        <w:rPr>
          <w:rFonts w:ascii="Aptos" w:hAnsi="Aptos"/>
          <w:b/>
          <w:color w:val="17324D"/>
          <w:sz w:val="25"/>
        </w:rPr>
        <w:t>The American approach</w:t>
      </w:r>
    </w:p>
    <w:p>
      <w:pPr>
        <w:spacing w:after="140" w:line="259" w:lineRule="auto"/>
      </w:pPr>
      <w:r>
        <w:rPr>
          <w:rFonts w:ascii="Aptos" w:hAnsi="Aptos"/>
          <w:color w:val="1F2933"/>
          <w:sz w:val="21"/>
        </w:rPr>
        <w:t>In the United States, much of the AI-safety debate has centered on whether advanced systems could escape meaningful human control, facilitate cyber or biological threats, enable autonomous weapons to make consequential decisions, or behave in ways their creators did not anticipate. At the same time, current federal policy strongly emphasizes technological development, infrastructure, innovation, international competition, and maintaining American leadership in artificial intelligence.</w:t>
      </w:r>
    </w:p>
    <w:tbl>
      <w:tblPr>
        <w:tblW w:type="auto" w:w="0"/>
        <w:jc w:val="center"/>
        <w:tblLayout w:type="fixed"/>
        <w:tblLook w:firstColumn="1" w:firstRow="1" w:lastColumn="0" w:lastRow="0" w:noHBand="0" w:noVBand="1" w:val="04A0"/>
      </w:tblPr>
      <w:tblGrid>
        <w:gridCol w:w="9936"/>
      </w:tblGrid>
      <w:tr>
        <w:tc>
          <w:tcPr>
            <w:tcW w:type="dxa" w:w="10080"/>
            <w:shd w:fill="F7F8FA"/>
            <w:tcMar>
              <w:top w:w="110" w:type="dxa"/>
              <w:start w:w="140" w:type="dxa"/>
              <w:bottom w:w="110" w:type="dxa"/>
              <w:end w:w="140" w:type="dxa"/>
            </w:tcMar>
            <w:tcBorders>
              <w:top w:val="nil"/>
              <w:left w:val="single" w:sz="18" w:color="17324D"/>
              <w:bottom w:val="nil"/>
              <w:right w:val="nil"/>
            </w:tcBorders>
          </w:tcPr>
          <w:p>
            <w:pPr>
              <w:spacing w:after="60"/>
            </w:pPr>
            <w:r>
              <w:rPr>
                <w:rFonts w:ascii="Aptos" w:hAnsi="Aptos"/>
                <w:b/>
                <w:color w:val="17324D"/>
                <w:sz w:val="18"/>
              </w:rPr>
              <w:t>THE POLICY TENSION</w:t>
            </w:r>
          </w:p>
          <w:p>
            <w:pPr>
              <w:spacing w:after="0"/>
            </w:pPr>
            <w:r>
              <w:rPr>
                <w:rFonts w:ascii="Aptos" w:hAnsi="Aptos"/>
                <w:b/>
                <w:color w:val="1F2933"/>
                <w:sz w:val="21"/>
              </w:rPr>
              <w:t>How can a country accelerate AI development while simultaneously ensuring that increasingly powerful AI remains safe and accountable?</w:t>
            </w:r>
          </w:p>
        </w:tc>
      </w:tr>
    </w:tbl>
    <w:p>
      <w:pPr>
        <w:spacing w:after="20"/>
      </w:pPr>
    </w:p>
    <w:p>
      <w:pPr>
        <w:keepNext/>
        <w:spacing w:before="60" w:after="100"/>
      </w:pPr>
      <w:r>
        <w:rPr>
          <w:rFonts w:ascii="Aptos" w:hAnsi="Aptos"/>
          <w:b/>
          <w:color w:val="17324D"/>
          <w:sz w:val="25"/>
        </w:rPr>
        <w:t>The Chinese approach</w:t>
      </w:r>
    </w:p>
    <w:p>
      <w:pPr>
        <w:spacing w:after="140" w:line="259" w:lineRule="auto"/>
      </w:pPr>
      <w:r>
        <w:rPr>
          <w:rFonts w:ascii="Aptos" w:hAnsi="Aptos"/>
          <w:color w:val="1F2933"/>
          <w:sz w:val="21"/>
        </w:rPr>
        <w:t>China also advocates AI safety, but its governance system places substantial emphasis on state authority, social stability, national security, information control, and conformity with Chinese law. At the same time, recent Chinese governance frameworks address a broader set of technical and societal risks, including cybersecurity, privacy, malicious use, frontier-model risks, AI testing, critical-infrastructure protection, transparency, traceability, international cooperation, and human control.</w:t>
      </w:r>
    </w:p>
    <w:p>
      <w:pPr>
        <w:spacing w:after="140" w:line="259" w:lineRule="auto"/>
      </w:pPr>
      <w:r>
        <w:rPr>
          <w:rFonts w:ascii="Aptos" w:hAnsi="Aptos"/>
          <w:color w:val="1F2933"/>
          <w:sz w:val="21"/>
        </w:rPr>
        <w:t>One consequential principle appearing in China’s 2026 AI-governance discussions is that advanced AI should remain under human control. Whatever the geopolitical rivalry, that principle belongs at the center of the global debate.</w:t>
      </w:r>
    </w:p>
    <w:p>
      <w:pPr>
        <w:keepNext/>
        <w:spacing w:before="60" w:after="100"/>
      </w:pPr>
      <w:r>
        <w:rPr>
          <w:rFonts w:ascii="Aptos" w:hAnsi="Aptos"/>
          <w:b/>
          <w:color w:val="17324D"/>
          <w:sz w:val="25"/>
        </w:rPr>
        <w:t>At a Glance: Different Systems, Some Overlapping Risks</w:t>
      </w:r>
    </w:p>
    <w:tbl>
      <w:tblPr>
        <w:tblW w:type="auto" w:w="0"/>
        <w:jc w:val="center"/>
        <w:tblLayout w:type="fixed"/>
        <w:tblLook w:firstColumn="1" w:firstRow="1" w:lastColumn="0" w:lastRow="0" w:noHBand="0" w:noVBand="1" w:val="04A0"/>
      </w:tblPr>
      <w:tblGrid>
        <w:gridCol w:w="2088"/>
        <w:gridCol w:w="3888"/>
        <w:gridCol w:w="3888"/>
      </w:tblGrid>
      <w:tr>
        <w:trPr>
          <w:tblHeader w:val="true"/>
        </w:trPr>
        <w:tc>
          <w:tcPr>
            <w:tcW w:type="dxa" w:w="3360"/>
            <w:shd w:fill="17324D"/>
            <w:tcMar>
              <w:top w:w="80" w:type="dxa"/>
              <w:start w:w="80" w:type="dxa"/>
              <w:bottom w:w="80" w:type="dxa"/>
              <w:end w:w="80" w:type="dxa"/>
            </w:tcMar>
            <w:vAlign w:val="center"/>
          </w:tcPr>
          <w:p>
            <w:r>
              <w:rPr>
                <w:rFonts w:ascii="Aptos" w:hAnsi="Aptos"/>
                <w:b/>
                <w:color w:val="FFFFFF"/>
                <w:sz w:val="16"/>
              </w:rPr>
              <w:t>Dimension</w:t>
            </w:r>
          </w:p>
        </w:tc>
        <w:tc>
          <w:tcPr>
            <w:tcW w:type="dxa" w:w="3360"/>
            <w:shd w:fill="17324D"/>
            <w:tcMar>
              <w:top w:w="80" w:type="dxa"/>
              <w:start w:w="80" w:type="dxa"/>
              <w:bottom w:w="80" w:type="dxa"/>
              <w:end w:w="80" w:type="dxa"/>
            </w:tcMar>
            <w:vAlign w:val="center"/>
          </w:tcPr>
          <w:p>
            <w:r>
              <w:rPr>
                <w:rFonts w:ascii="Aptos" w:hAnsi="Aptos"/>
                <w:b/>
                <w:color w:val="FFFFFF"/>
                <w:sz w:val="16"/>
              </w:rPr>
              <w:t>United States — current federal direction</w:t>
            </w:r>
          </w:p>
        </w:tc>
        <w:tc>
          <w:tcPr>
            <w:tcW w:type="dxa" w:w="3360"/>
            <w:shd w:fill="17324D"/>
            <w:tcMar>
              <w:top w:w="80" w:type="dxa"/>
              <w:start w:w="80" w:type="dxa"/>
              <w:bottom w:w="80" w:type="dxa"/>
              <w:end w:w="80" w:type="dxa"/>
            </w:tcMar>
            <w:vAlign w:val="center"/>
          </w:tcPr>
          <w:p>
            <w:r>
              <w:rPr>
                <w:rFonts w:ascii="Aptos" w:hAnsi="Aptos"/>
                <w:b/>
                <w:color w:val="FFFFFF"/>
                <w:sz w:val="16"/>
              </w:rPr>
              <w:t>China — stated approach</w:t>
            </w:r>
          </w:p>
        </w:tc>
      </w:tr>
      <w:tr>
        <w:tc>
          <w:tcPr>
            <w:tcW w:type="dxa" w:w="2088"/>
            <w:tcMar>
              <w:top w:w="75" w:type="dxa"/>
              <w:start w:w="80" w:type="dxa"/>
              <w:bottom w:w="75" w:type="dxa"/>
              <w:end w:w="80" w:type="dxa"/>
            </w:tcMar>
            <w:shd w:fill="FFFFFF"/>
            <w:tcBorders>
              <w:bottom w:val="single" w:sz="2" w:color="DCE3E7"/>
            </w:tcBorders>
          </w:tcPr>
          <w:p>
            <w:r>
              <w:rPr>
                <w:rFonts w:ascii="Aptos" w:hAnsi="Aptos"/>
                <w:b/>
                <w:color w:val="0B6B75"/>
                <w:sz w:val="16"/>
              </w:rPr>
              <w:t>Innovation</w:t>
            </w:r>
          </w:p>
        </w:tc>
        <w:tc>
          <w:tcPr>
            <w:tcW w:type="dxa" w:w="3888"/>
            <w:tcMar>
              <w:top w:w="75" w:type="dxa"/>
              <w:start w:w="80" w:type="dxa"/>
              <w:bottom w:w="75" w:type="dxa"/>
              <w:end w:w="80" w:type="dxa"/>
            </w:tcMar>
            <w:shd w:fill="FFFFFF"/>
            <w:tcBorders>
              <w:bottom w:val="single" w:sz="2" w:color="DCE3E7"/>
            </w:tcBorders>
          </w:tcPr>
          <w:p>
            <w:r>
              <w:rPr>
                <w:rFonts w:ascii="Aptos" w:hAnsi="Aptos"/>
                <w:b w:val="0"/>
                <w:color w:val="1F2933"/>
                <w:sz w:val="16"/>
              </w:rPr>
              <w:t>Strong emphasis on accelerated development, infrastructure, and private-sector leadership.</w:t>
            </w:r>
          </w:p>
        </w:tc>
        <w:tc>
          <w:tcPr>
            <w:tcW w:type="dxa" w:w="3888"/>
            <w:tcMar>
              <w:top w:w="75" w:type="dxa"/>
              <w:start w:w="80" w:type="dxa"/>
              <w:bottom w:w="75" w:type="dxa"/>
              <w:end w:w="80" w:type="dxa"/>
            </w:tcMar>
            <w:shd w:fill="FFFFFF"/>
            <w:tcBorders>
              <w:bottom w:val="single" w:sz="2" w:color="DCE3E7"/>
            </w:tcBorders>
          </w:tcPr>
          <w:p>
            <w:r>
              <w:rPr>
                <w:rFonts w:ascii="Aptos" w:hAnsi="Aptos"/>
                <w:b w:val="0"/>
                <w:color w:val="1F2933"/>
                <w:sz w:val="16"/>
              </w:rPr>
              <w:t>Strong emphasis on rapid development and deployment aligned with state strategy.</w:t>
            </w:r>
          </w:p>
        </w:tc>
      </w:tr>
      <w:tr>
        <w:tc>
          <w:tcPr>
            <w:tcW w:type="dxa" w:w="2088"/>
            <w:tcMar>
              <w:top w:w="75" w:type="dxa"/>
              <w:start w:w="80" w:type="dxa"/>
              <w:bottom w:w="75" w:type="dxa"/>
              <w:end w:w="80" w:type="dxa"/>
            </w:tcMar>
            <w:shd w:fill="F7F9FA"/>
            <w:tcBorders>
              <w:bottom w:val="single" w:sz="2" w:color="DCE3E7"/>
            </w:tcBorders>
          </w:tcPr>
          <w:p>
            <w:r>
              <w:rPr>
                <w:rFonts w:ascii="Aptos" w:hAnsi="Aptos"/>
                <w:b/>
                <w:color w:val="0B6B75"/>
                <w:sz w:val="16"/>
              </w:rPr>
              <w:t>Regulation</w:t>
            </w:r>
          </w:p>
        </w:tc>
        <w:tc>
          <w:tcPr>
            <w:tcW w:type="dxa" w:w="3888"/>
            <w:tcMar>
              <w:top w:w="75" w:type="dxa"/>
              <w:start w:w="80" w:type="dxa"/>
              <w:bottom w:w="75" w:type="dxa"/>
              <w:end w:w="80" w:type="dxa"/>
            </w:tcMar>
            <w:shd w:fill="F7F9FA"/>
            <w:tcBorders>
              <w:bottom w:val="single" w:sz="2" w:color="DCE3E7"/>
            </w:tcBorders>
          </w:tcPr>
          <w:p>
            <w:r>
              <w:rPr>
                <w:rFonts w:ascii="Aptos" w:hAnsi="Aptos"/>
                <w:b w:val="0"/>
                <w:color w:val="1F2933"/>
                <w:sz w:val="16"/>
              </w:rPr>
              <w:t>Current federal direction favors reducing barriers while retaining targeted security and risk controls.</w:t>
            </w:r>
          </w:p>
        </w:tc>
        <w:tc>
          <w:tcPr>
            <w:tcW w:type="dxa" w:w="3888"/>
            <w:tcMar>
              <w:top w:w="75" w:type="dxa"/>
              <w:start w:w="80" w:type="dxa"/>
              <w:bottom w:w="75" w:type="dxa"/>
              <w:end w:w="80" w:type="dxa"/>
            </w:tcMar>
            <w:shd w:fill="F7F9FA"/>
            <w:tcBorders>
              <w:bottom w:val="single" w:sz="2" w:color="DCE3E7"/>
            </w:tcBorders>
          </w:tcPr>
          <w:p>
            <w:r>
              <w:rPr>
                <w:rFonts w:ascii="Aptos" w:hAnsi="Aptos"/>
                <w:b w:val="0"/>
                <w:color w:val="1F2933"/>
                <w:sz w:val="16"/>
              </w:rPr>
              <w:t>More direct state regulation, registration, content requirements, and administrative control.</w:t>
            </w:r>
          </w:p>
        </w:tc>
      </w:tr>
      <w:tr>
        <w:tc>
          <w:tcPr>
            <w:tcW w:type="dxa" w:w="2088"/>
            <w:tcMar>
              <w:top w:w="75" w:type="dxa"/>
              <w:start w:w="80" w:type="dxa"/>
              <w:bottom w:w="75" w:type="dxa"/>
              <w:end w:w="80" w:type="dxa"/>
            </w:tcMar>
            <w:shd w:fill="FFFFFF"/>
            <w:tcBorders>
              <w:bottom w:val="single" w:sz="2" w:color="DCE3E7"/>
            </w:tcBorders>
          </w:tcPr>
          <w:p>
            <w:r>
              <w:rPr>
                <w:rFonts w:ascii="Aptos" w:hAnsi="Aptos"/>
                <w:b/>
                <w:color w:val="0B6B75"/>
                <w:sz w:val="16"/>
              </w:rPr>
              <w:t>Catastrophic risk</w:t>
            </w:r>
          </w:p>
        </w:tc>
        <w:tc>
          <w:tcPr>
            <w:tcW w:type="dxa" w:w="3888"/>
            <w:tcMar>
              <w:top w:w="75" w:type="dxa"/>
              <w:start w:w="80" w:type="dxa"/>
              <w:bottom w:w="75" w:type="dxa"/>
              <w:end w:w="80" w:type="dxa"/>
            </w:tcMar>
            <w:shd w:fill="FFFFFF"/>
            <w:tcBorders>
              <w:bottom w:val="single" w:sz="2" w:color="DCE3E7"/>
            </w:tcBorders>
          </w:tcPr>
          <w:p>
            <w:r>
              <w:rPr>
                <w:rFonts w:ascii="Aptos" w:hAnsi="Aptos"/>
                <w:b w:val="0"/>
                <w:color w:val="1F2933"/>
                <w:sz w:val="16"/>
              </w:rPr>
              <w:t>Prominent among researchers, industry leaders, and parts of government.</w:t>
            </w:r>
          </w:p>
        </w:tc>
        <w:tc>
          <w:tcPr>
            <w:tcW w:type="dxa" w:w="3888"/>
            <w:tcMar>
              <w:top w:w="75" w:type="dxa"/>
              <w:start w:w="80" w:type="dxa"/>
              <w:bottom w:w="75" w:type="dxa"/>
              <w:end w:w="80" w:type="dxa"/>
            </w:tcMar>
            <w:shd w:fill="FFFFFF"/>
            <w:tcBorders>
              <w:bottom w:val="single" w:sz="2" w:color="DCE3E7"/>
            </w:tcBorders>
          </w:tcPr>
          <w:p>
            <w:r>
              <w:rPr>
                <w:rFonts w:ascii="Aptos" w:hAnsi="Aptos"/>
                <w:b w:val="0"/>
                <w:color w:val="1F2933"/>
                <w:sz w:val="16"/>
              </w:rPr>
              <w:t>Increasingly acknowledged in official safety and frontier-model frameworks.</w:t>
            </w:r>
          </w:p>
        </w:tc>
      </w:tr>
      <w:tr>
        <w:tc>
          <w:tcPr>
            <w:tcW w:type="dxa" w:w="2088"/>
            <w:tcMar>
              <w:top w:w="75" w:type="dxa"/>
              <w:start w:w="80" w:type="dxa"/>
              <w:bottom w:w="75" w:type="dxa"/>
              <w:end w:w="80" w:type="dxa"/>
            </w:tcMar>
            <w:shd w:fill="F7F9FA"/>
            <w:tcBorders>
              <w:bottom w:val="single" w:sz="2" w:color="DCE3E7"/>
            </w:tcBorders>
          </w:tcPr>
          <w:p>
            <w:r>
              <w:rPr>
                <w:rFonts w:ascii="Aptos" w:hAnsi="Aptos"/>
                <w:b/>
                <w:color w:val="0B6B75"/>
                <w:sz w:val="16"/>
              </w:rPr>
              <w:t>Human control</w:t>
            </w:r>
          </w:p>
        </w:tc>
        <w:tc>
          <w:tcPr>
            <w:tcW w:type="dxa" w:w="3888"/>
            <w:tcMar>
              <w:top w:w="75" w:type="dxa"/>
              <w:start w:w="80" w:type="dxa"/>
              <w:bottom w:w="75" w:type="dxa"/>
              <w:end w:w="80" w:type="dxa"/>
            </w:tcMar>
            <w:shd w:fill="F7F9FA"/>
            <w:tcBorders>
              <w:bottom w:val="single" w:sz="2" w:color="DCE3E7"/>
            </w:tcBorders>
          </w:tcPr>
          <w:p>
            <w:r>
              <w:rPr>
                <w:rFonts w:ascii="Aptos" w:hAnsi="Aptos"/>
                <w:b w:val="0"/>
                <w:color w:val="1F2933"/>
                <w:sz w:val="16"/>
              </w:rPr>
              <w:t>Discussed especially in national-security, safety, and high-risk contexts.</w:t>
            </w:r>
          </w:p>
        </w:tc>
        <w:tc>
          <w:tcPr>
            <w:tcW w:type="dxa" w:w="3888"/>
            <w:tcMar>
              <w:top w:w="75" w:type="dxa"/>
              <w:start w:w="80" w:type="dxa"/>
              <w:bottom w:w="75" w:type="dxa"/>
              <w:end w:w="80" w:type="dxa"/>
            </w:tcMar>
            <w:shd w:fill="F7F9FA"/>
            <w:tcBorders>
              <w:bottom w:val="single" w:sz="2" w:color="DCE3E7"/>
            </w:tcBorders>
          </w:tcPr>
          <w:p>
            <w:r>
              <w:rPr>
                <w:rFonts w:ascii="Aptos" w:hAnsi="Aptos"/>
                <w:b w:val="0"/>
                <w:color w:val="1F2933"/>
                <w:sz w:val="16"/>
              </w:rPr>
              <w:t>Explicitly emphasized in recent governance principles.</w:t>
            </w:r>
          </w:p>
        </w:tc>
      </w:tr>
      <w:tr>
        <w:tc>
          <w:tcPr>
            <w:tcW w:type="dxa" w:w="2088"/>
            <w:tcMar>
              <w:top w:w="75" w:type="dxa"/>
              <w:start w:w="80" w:type="dxa"/>
              <w:bottom w:w="75" w:type="dxa"/>
              <w:end w:w="80" w:type="dxa"/>
            </w:tcMar>
            <w:shd w:fill="FFFFFF"/>
            <w:tcBorders>
              <w:bottom w:val="single" w:sz="2" w:color="DCE3E7"/>
            </w:tcBorders>
          </w:tcPr>
          <w:p>
            <w:r>
              <w:rPr>
                <w:rFonts w:ascii="Aptos" w:hAnsi="Aptos"/>
                <w:b/>
                <w:color w:val="0B6B75"/>
                <w:sz w:val="16"/>
              </w:rPr>
              <w:t>Political/content rules</w:t>
            </w:r>
          </w:p>
        </w:tc>
        <w:tc>
          <w:tcPr>
            <w:tcW w:type="dxa" w:w="3888"/>
            <w:tcMar>
              <w:top w:w="75" w:type="dxa"/>
              <w:start w:w="80" w:type="dxa"/>
              <w:bottom w:w="75" w:type="dxa"/>
              <w:end w:w="80" w:type="dxa"/>
            </w:tcMar>
            <w:shd w:fill="FFFFFF"/>
            <w:tcBorders>
              <w:bottom w:val="single" w:sz="2" w:color="DCE3E7"/>
            </w:tcBorders>
          </w:tcPr>
          <w:p>
            <w:r>
              <w:rPr>
                <w:rFonts w:ascii="Aptos" w:hAnsi="Aptos"/>
                <w:b w:val="0"/>
                <w:color w:val="1F2933"/>
                <w:sz w:val="16"/>
              </w:rPr>
              <w:t>Government action is constrained by U.S. constitutional protections and a pluralistic legal system.</w:t>
            </w:r>
          </w:p>
        </w:tc>
        <w:tc>
          <w:tcPr>
            <w:tcW w:type="dxa" w:w="3888"/>
            <w:tcMar>
              <w:top w:w="75" w:type="dxa"/>
              <w:start w:w="80" w:type="dxa"/>
              <w:bottom w:w="75" w:type="dxa"/>
              <w:end w:w="80" w:type="dxa"/>
            </w:tcMar>
            <w:shd w:fill="FFFFFF"/>
            <w:tcBorders>
              <w:bottom w:val="single" w:sz="2" w:color="DCE3E7"/>
            </w:tcBorders>
          </w:tcPr>
          <w:p>
            <w:r>
              <w:rPr>
                <w:rFonts w:ascii="Aptos" w:hAnsi="Aptos"/>
                <w:b w:val="0"/>
                <w:color w:val="1F2933"/>
                <w:sz w:val="16"/>
              </w:rPr>
              <w:t>Public AI services must comply with Chinese laws, national-security requirements, and socialist political standards.</w:t>
            </w:r>
          </w:p>
        </w:tc>
      </w:tr>
      <w:tr>
        <w:tc>
          <w:tcPr>
            <w:tcW w:type="dxa" w:w="2088"/>
            <w:tcMar>
              <w:top w:w="75" w:type="dxa"/>
              <w:start w:w="80" w:type="dxa"/>
              <w:bottom w:w="75" w:type="dxa"/>
              <w:end w:w="80" w:type="dxa"/>
            </w:tcMar>
            <w:shd w:fill="F7F9FA"/>
            <w:tcBorders>
              <w:bottom w:val="single" w:sz="2" w:color="DCE3E7"/>
            </w:tcBorders>
          </w:tcPr>
          <w:p>
            <w:r>
              <w:rPr>
                <w:rFonts w:ascii="Aptos" w:hAnsi="Aptos"/>
                <w:b/>
                <w:color w:val="0B6B75"/>
                <w:sz w:val="16"/>
              </w:rPr>
              <w:t>International governance</w:t>
            </w:r>
          </w:p>
        </w:tc>
        <w:tc>
          <w:tcPr>
            <w:tcW w:type="dxa" w:w="3888"/>
            <w:tcMar>
              <w:top w:w="75" w:type="dxa"/>
              <w:start w:w="80" w:type="dxa"/>
              <w:bottom w:w="75" w:type="dxa"/>
              <w:end w:w="80" w:type="dxa"/>
            </w:tcMar>
            <w:shd w:fill="F7F9FA"/>
            <w:tcBorders>
              <w:bottom w:val="single" w:sz="2" w:color="DCE3E7"/>
            </w:tcBorders>
          </w:tcPr>
          <w:p>
            <w:r>
              <w:rPr>
                <w:rFonts w:ascii="Aptos" w:hAnsi="Aptos"/>
                <w:b w:val="0"/>
                <w:color w:val="1F2933"/>
                <w:sz w:val="16"/>
              </w:rPr>
              <w:t>Emphasis on U.S. leadership, allied coordination, and technology standards.</w:t>
            </w:r>
          </w:p>
        </w:tc>
        <w:tc>
          <w:tcPr>
            <w:tcW w:type="dxa" w:w="3888"/>
            <w:tcMar>
              <w:top w:w="75" w:type="dxa"/>
              <w:start w:w="80" w:type="dxa"/>
              <w:bottom w:w="75" w:type="dxa"/>
              <w:end w:w="80" w:type="dxa"/>
            </w:tcMar>
            <w:shd w:fill="F7F9FA"/>
            <w:tcBorders>
              <w:bottom w:val="single" w:sz="2" w:color="DCE3E7"/>
            </w:tcBorders>
          </w:tcPr>
          <w:p>
            <w:r>
              <w:rPr>
                <w:rFonts w:ascii="Aptos" w:hAnsi="Aptos"/>
                <w:b w:val="0"/>
                <w:color w:val="1F2933"/>
                <w:sz w:val="16"/>
              </w:rPr>
              <w:t>Emphasis on state sovereignty, multilateral governance, U.N. mechanisms, and Global South capacity-building.</w:t>
            </w:r>
          </w:p>
        </w:tc>
      </w:tr>
    </w:tbl>
    <w:p>
      <w:pPr>
        <w:spacing w:before="160" w:after="40"/>
      </w:pPr>
      <w:r>
        <w:rPr>
          <w:rFonts w:ascii="Aptos" w:hAnsi="Aptos"/>
          <w:b/>
          <w:color w:val="0B6B75"/>
          <w:sz w:val="17"/>
        </w:rPr>
        <w:t>INTERPRETATION</w:t>
      </w:r>
    </w:p>
    <w:p>
      <w:pPr>
        <w:keepNext/>
        <w:spacing w:before="80" w:after="100"/>
      </w:pPr>
      <w:r>
        <w:rPr>
          <w:rFonts w:ascii="Aptos" w:hAnsi="Aptos"/>
          <w:b/>
          <w:color w:val="17324D"/>
          <w:sz w:val="34"/>
        </w:rPr>
        <w:t>AI LAKAY NOU Analysis</w:t>
      </w:r>
    </w:p>
    <w:p>
      <w:pPr>
        <w:spacing w:after="140" w:line="259" w:lineRule="auto"/>
      </w:pPr>
      <w:r>
        <w:rPr>
          <w:rFonts w:ascii="Aptos" w:hAnsi="Aptos"/>
          <w:color w:val="1F2933"/>
          <w:sz w:val="21"/>
        </w:rPr>
        <w:t>The United States and China may disagree over political systems, regulation, information control, technological competition, and international leadership. Underneath those disagreements lies a larger question confronting every country: How much authority should humanity give artificial intelligence?</w:t>
      </w:r>
    </w:p>
    <w:p>
      <w:pPr>
        <w:spacing w:after="140" w:line="259" w:lineRule="auto"/>
      </w:pPr>
      <w:r>
        <w:rPr>
          <w:rFonts w:ascii="Aptos" w:hAnsi="Aptos"/>
          <w:color w:val="1F2933"/>
          <w:sz w:val="21"/>
        </w:rPr>
        <w:t>An AI system can be useful. It can be extraordinarily capable. It can process more information than any individual human being. But intelligence is not the same as legitimate authority. AI does not vote, possess democratic legitimacy, accept moral responsibility, or independently answer to citizens harmed by an automated decision.</w:t>
      </w:r>
    </w:p>
    <w:tbl>
      <w:tblPr>
        <w:tblW w:type="auto" w:w="0"/>
        <w:jc w:val="center"/>
        <w:tblLayout w:type="fixed"/>
        <w:tblLook w:firstColumn="1" w:firstRow="1" w:lastColumn="0" w:lastRow="0" w:noHBand="0" w:noVBand="1" w:val="04A0"/>
      </w:tblPr>
      <w:tblGrid>
        <w:gridCol w:w="9936"/>
      </w:tblGrid>
      <w:tr>
        <w:tc>
          <w:tcPr>
            <w:tcW w:type="dxa" w:w="10080"/>
            <w:shd w:fill="EAF1F6"/>
            <w:tcMar>
              <w:top w:w="110" w:type="dxa"/>
              <w:start w:w="140" w:type="dxa"/>
              <w:bottom w:w="110" w:type="dxa"/>
              <w:end w:w="140" w:type="dxa"/>
            </w:tcMar>
            <w:tcBorders>
              <w:top w:val="nil"/>
              <w:left w:val="single" w:sz="18" w:color="17324D"/>
              <w:bottom w:val="nil"/>
              <w:right w:val="nil"/>
            </w:tcBorders>
          </w:tcPr>
          <w:p>
            <w:pPr>
              <w:spacing w:after="60"/>
            </w:pPr>
            <w:r>
              <w:rPr>
                <w:rFonts w:ascii="Aptos" w:hAnsi="Aptos"/>
                <w:b/>
                <w:color w:val="17324D"/>
                <w:sz w:val="18"/>
              </w:rPr>
              <w:t>CORE DISTINCTION</w:t>
            </w:r>
          </w:p>
          <w:p>
            <w:pPr>
              <w:spacing w:after="0"/>
            </w:pPr>
            <w:r>
              <w:rPr>
                <w:rFonts w:ascii="Aptos" w:hAnsi="Aptos"/>
                <w:b/>
                <w:color w:val="1F2933"/>
                <w:sz w:val="21"/>
              </w:rPr>
              <w:t>Machine capability is not the same thing as human or institutional authority.</w:t>
            </w:r>
          </w:p>
        </w:tc>
      </w:tr>
    </w:tbl>
    <w:p>
      <w:pPr>
        <w:spacing w:after="20"/>
      </w:pPr>
    </w:p>
    <w:p>
      <w:r>
        <w:br w:type="page"/>
      </w:r>
    </w:p>
    <w:p>
      <w:pPr>
        <w:spacing w:before="160" w:after="40"/>
      </w:pPr>
      <w:r>
        <w:rPr>
          <w:rFonts w:ascii="Aptos" w:hAnsi="Aptos"/>
          <w:b/>
          <w:color w:val="0B6B75"/>
          <w:sz w:val="17"/>
        </w:rPr>
        <w:t>STORY 2</w:t>
      </w:r>
    </w:p>
    <w:p>
      <w:pPr>
        <w:keepNext/>
        <w:spacing w:before="80" w:after="100"/>
      </w:pPr>
      <w:r>
        <w:rPr>
          <w:rFonts w:ascii="Aptos" w:hAnsi="Aptos"/>
          <w:b/>
          <w:color w:val="17324D"/>
          <w:sz w:val="34"/>
        </w:rPr>
        <w:t>AI May Soon Become a Front Door to the U.S. Government</w:t>
      </w:r>
    </w:p>
    <w:p>
      <w:pPr>
        <w:spacing w:after="140" w:line="259" w:lineRule="auto"/>
      </w:pPr>
      <w:r>
        <w:rPr>
          <w:rFonts w:ascii="Aptos" w:hAnsi="Aptos"/>
          <w:color w:val="1F2933"/>
          <w:sz w:val="21"/>
        </w:rPr>
        <w:t>A separate September 17 investigation by The Washington Sun reports that Trump administration officials are developing plans for an AI-powered federal-government portal called America.gov. The project was reported as being in the planning stage rather than as an already operational nationwide service.</w:t>
      </w:r>
    </w:p>
    <w:p>
      <w:pPr>
        <w:spacing w:after="140" w:line="259" w:lineRule="auto"/>
      </w:pPr>
      <w:r>
        <w:rPr>
          <w:rFonts w:ascii="Aptos" w:hAnsi="Aptos"/>
          <w:color w:val="1F2933"/>
          <w:sz w:val="21"/>
        </w:rPr>
        <w:t>According to the investigation, America.gov is being considered as a centralized digital destination through which Americans could eventually access services such as passport applications and renewals, tax-related services, identity verification, and potentially other federal programs. The report says that an AI chatbot could become a principal interface through which citizens interact with the system.</w:t>
      </w:r>
    </w:p>
    <w:p>
      <w:pPr>
        <w:spacing w:after="140" w:line="259" w:lineRule="auto"/>
      </w:pPr>
      <w:r>
        <w:rPr>
          <w:rFonts w:ascii="Aptos" w:hAnsi="Aptos"/>
          <w:color w:val="1F2933"/>
          <w:sz w:val="21"/>
        </w:rPr>
        <w:t>Reporting also identifies former personnel associated with the Department of Government Efficiency, or DOGE, as participating in or connected with the initiative. The important policy question is not the personalities involved, but what standards should govern AI when it becomes an interface for essential public services.</w:t>
      </w:r>
    </w:p>
    <w:p>
      <w:pPr>
        <w:keepNext/>
        <w:spacing w:before="60" w:after="100"/>
      </w:pPr>
      <w:r>
        <w:rPr>
          <w:rFonts w:ascii="Aptos" w:hAnsi="Aptos"/>
          <w:b/>
          <w:color w:val="17324D"/>
          <w:sz w:val="25"/>
        </w:rPr>
        <w:t>Why the idea could be transformative</w:t>
      </w:r>
    </w:p>
    <w:p>
      <w:pPr>
        <w:spacing w:after="140" w:line="259" w:lineRule="auto"/>
      </w:pPr>
      <w:r>
        <w:rPr>
          <w:rFonts w:ascii="Aptos" w:hAnsi="Aptos"/>
          <w:color w:val="1F2933"/>
          <w:sz w:val="21"/>
        </w:rPr>
        <w:t>A well-designed government AI assistant could reduce bureaucratic friction. A citizen might ask, “I need to renew my passport,” “I am retiring this year; which federal benefits apply to me?” or “Help me understand which tax forms I need,” and receive guided assistance instead of navigating numerous agencies and websites.</w:t>
      </w:r>
    </w:p>
    <w:p>
      <w:pPr>
        <w:pStyle w:val="ListBullet"/>
        <w:spacing w:after="60"/>
        <w:ind w:left="288" w:hanging="72"/>
      </w:pPr>
      <w:r>
        <w:rPr>
          <w:rFonts w:ascii="Aptos" w:hAnsi="Aptos"/>
          <w:color w:val="1F2933"/>
          <w:sz w:val="20"/>
        </w:rPr>
        <w:t>Simpler access to public services and forms.</w:t>
      </w:r>
    </w:p>
    <w:p>
      <w:pPr>
        <w:pStyle w:val="ListBullet"/>
        <w:spacing w:after="60"/>
        <w:ind w:left="288" w:hanging="72"/>
      </w:pPr>
      <w:r>
        <w:rPr>
          <w:rFonts w:ascii="Aptos" w:hAnsi="Aptos"/>
          <w:color w:val="1F2933"/>
          <w:sz w:val="20"/>
        </w:rPr>
        <w:t>Faster navigation across agencies and programs.</w:t>
      </w:r>
    </w:p>
    <w:p>
      <w:pPr>
        <w:pStyle w:val="ListBullet"/>
        <w:spacing w:after="60"/>
        <w:ind w:left="288" w:hanging="72"/>
      </w:pPr>
      <w:r>
        <w:rPr>
          <w:rFonts w:ascii="Aptos" w:hAnsi="Aptos"/>
          <w:color w:val="1F2933"/>
          <w:sz w:val="20"/>
        </w:rPr>
        <w:t>Multilingual support for immigrants and diaspora communities.</w:t>
      </w:r>
    </w:p>
    <w:p>
      <w:pPr>
        <w:pStyle w:val="ListBullet"/>
        <w:spacing w:after="60"/>
        <w:ind w:left="288" w:hanging="72"/>
      </w:pPr>
      <w:r>
        <w:rPr>
          <w:rFonts w:ascii="Aptos" w:hAnsi="Aptos"/>
          <w:color w:val="1F2933"/>
          <w:sz w:val="20"/>
        </w:rPr>
        <w:t>Potential accessibility improvements for older adults and people with disabilities.</w:t>
      </w:r>
    </w:p>
    <w:p>
      <w:pPr>
        <w:pStyle w:val="ListBullet"/>
        <w:spacing w:after="60"/>
        <w:ind w:left="288" w:hanging="72"/>
      </w:pPr>
      <w:r>
        <w:rPr>
          <w:rFonts w:ascii="Aptos" w:hAnsi="Aptos"/>
          <w:color w:val="1F2933"/>
          <w:sz w:val="20"/>
        </w:rPr>
        <w:t>Reduced administrative burden for citizens and government employees.</w:t>
      </w:r>
    </w:p>
    <w:p>
      <w:pPr>
        <w:keepNext/>
        <w:spacing w:before="60" w:after="100"/>
      </w:pPr>
      <w:r>
        <w:rPr>
          <w:rFonts w:ascii="Aptos" w:hAnsi="Aptos"/>
          <w:b/>
          <w:color w:val="17324D"/>
          <w:sz w:val="25"/>
        </w:rPr>
        <w:t>Why the risks are equally important</w:t>
      </w:r>
    </w:p>
    <w:p>
      <w:pPr>
        <w:spacing w:after="140" w:line="259" w:lineRule="auto"/>
      </w:pPr>
      <w:r>
        <w:rPr>
          <w:rFonts w:ascii="Aptos" w:hAnsi="Aptos"/>
          <w:color w:val="1F2933"/>
          <w:sz w:val="21"/>
        </w:rPr>
        <w:t>An ordinary commercial chatbot making an incorrect recommendation may cause little harm. A government AI system making an incorrect statement can affect money, legal status, identity, benefits, mobility, employment, or rights.</w:t>
      </w:r>
    </w:p>
    <w:tbl>
      <w:tblPr>
        <w:tblW w:type="auto" w:w="0"/>
        <w:jc w:val="center"/>
        <w:tblLayout w:type="fixed"/>
        <w:tblLook w:firstColumn="1" w:firstRow="1" w:lastColumn="0" w:lastRow="0" w:noHBand="0" w:noVBand="1" w:val="04A0"/>
      </w:tblPr>
      <w:tblGrid>
        <w:gridCol w:w="9792"/>
      </w:tblGrid>
      <w:tr>
        <w:tc>
          <w:tcPr>
            <w:tcW w:type="dxa" w:w="10080"/>
            <w:shd w:fill="FFF7F0"/>
            <w:tcMar>
              <w:top w:w="110" w:type="dxa"/>
              <w:start w:w="140" w:type="dxa"/>
              <w:bottom w:w="110" w:type="dxa"/>
              <w:end w:w="140" w:type="dxa"/>
            </w:tcMar>
            <w:tcBorders>
              <w:left w:val="single" w:sz="18" w:color="A33A3A"/>
            </w:tcBorders>
          </w:tcPr>
          <w:p>
            <w:r>
              <w:rPr>
                <w:rFonts w:ascii="Aptos" w:hAnsi="Aptos"/>
                <w:b/>
                <w:color w:val="A33A3A"/>
                <w:sz w:val="18"/>
              </w:rPr>
              <w:t>Examples of consequential AI errors</w:t>
            </w:r>
          </w:p>
          <w:p>
            <w:pPr>
              <w:spacing w:after="40"/>
            </w:pPr>
            <w:r>
              <w:rPr>
                <w:rFonts w:ascii="Aptos" w:hAnsi="Aptos"/>
                <w:b/>
                <w:color w:val="1F2933"/>
                <w:sz w:val="20"/>
              </w:rPr>
              <w:t>“You are not eligible for this benefit.”</w:t>
            </w:r>
          </w:p>
          <w:p>
            <w:pPr>
              <w:spacing w:after="40"/>
            </w:pPr>
            <w:r>
              <w:rPr>
                <w:rFonts w:ascii="Aptos" w:hAnsi="Aptos"/>
                <w:b/>
                <w:color w:val="1F2933"/>
                <w:sz w:val="20"/>
              </w:rPr>
              <w:t>“Your passport application has been completed.”</w:t>
            </w:r>
          </w:p>
          <w:p>
            <w:pPr>
              <w:spacing w:after="40"/>
            </w:pPr>
            <w:r>
              <w:rPr>
                <w:rFonts w:ascii="Aptos" w:hAnsi="Aptos"/>
                <w:b/>
                <w:color w:val="1F2933"/>
                <w:sz w:val="20"/>
              </w:rPr>
              <w:t>“You do not need to submit this tax form.”</w:t>
            </w:r>
          </w:p>
          <w:p>
            <w:pPr>
              <w:spacing w:after="40"/>
            </w:pPr>
            <w:r>
              <w:rPr>
                <w:rFonts w:ascii="Aptos" w:hAnsi="Aptos"/>
                <w:b/>
                <w:color w:val="1F2933"/>
                <w:sz w:val="20"/>
              </w:rPr>
              <w:t>“Your immigration documentation is insufficient.”</w:t>
            </w:r>
          </w:p>
        </w:tc>
      </w:tr>
    </w:tbl>
    <w:p>
      <w:pPr>
        <w:spacing w:after="20"/>
      </w:pPr>
    </w:p>
    <w:p>
      <w:pPr>
        <w:spacing w:after="140" w:line="259" w:lineRule="auto"/>
      </w:pPr>
      <w:r>
        <w:rPr>
          <w:rFonts w:ascii="Aptos" w:hAnsi="Aptos"/>
          <w:color w:val="1F2933"/>
          <w:sz w:val="21"/>
        </w:rPr>
        <w:t>Government AI therefore requires safeguards beyond those expected from an ordinary consumer chatbot. Accuracy, authentication, cybersecurity, privacy, accessibility, recordkeeping, auditing, human escalation, appeal rights, and responsibility for errors become governance requirements rather than optional product features.</w:t>
      </w:r>
    </w:p>
    <w:p>
      <w:pPr>
        <w:spacing w:before="160" w:after="40"/>
      </w:pPr>
      <w:r>
        <w:rPr>
          <w:rFonts w:ascii="Aptos" w:hAnsi="Aptos"/>
          <w:b/>
          <w:color w:val="0B6B75"/>
          <w:sz w:val="17"/>
        </w:rPr>
        <w:t>PUBLIC-INTEREST CHECKLIST</w:t>
      </w:r>
    </w:p>
    <w:p>
      <w:pPr>
        <w:keepNext/>
        <w:spacing w:before="80" w:after="100"/>
      </w:pPr>
      <w:r>
        <w:rPr>
          <w:rFonts w:ascii="Aptos" w:hAnsi="Aptos"/>
          <w:b/>
          <w:color w:val="17324D"/>
          <w:sz w:val="34"/>
        </w:rPr>
        <w:t>Seven Questions Every Government Should Answer</w:t>
      </w:r>
    </w:p>
    <w:tbl>
      <w:tblPr>
        <w:tblW w:type="auto" w:w="0"/>
        <w:jc w:val="center"/>
        <w:tblLayout w:type="fixed"/>
        <w:tblLook w:firstColumn="1" w:firstRow="1" w:lastColumn="0" w:lastRow="0" w:noHBand="0" w:noVBand="1" w:val="04A0"/>
      </w:tblPr>
      <w:tblGrid>
        <w:gridCol w:w="792"/>
        <w:gridCol w:w="9072"/>
      </w:tblGrid>
      <w:tr>
        <w:tc>
          <w:tcPr>
            <w:tcW w:type="dxa" w:w="792"/>
            <w:tcMar>
              <w:top w:w="55" w:type="dxa"/>
              <w:start w:w="70" w:type="dxa"/>
              <w:bottom w:w="55" w:type="dxa"/>
              <w:end w:w="70" w:type="dxa"/>
            </w:tcMar>
            <w:tcBorders>
              <w:bottom w:val="single" w:sz="2" w:color="E1E6EA"/>
            </w:tcBorders>
            <w:shd w:fill="0B6B75"/>
          </w:tcPr>
          <w:p>
            <w:pPr>
              <w:jc w:val="center"/>
            </w:pPr>
            <w:r>
              <w:rPr>
                <w:rFonts w:ascii="Aptos" w:hAnsi="Aptos"/>
                <w:b/>
                <w:color w:val="FFFFFF"/>
                <w:sz w:val="18"/>
              </w:rPr>
              <w:t>1</w:t>
            </w:r>
          </w:p>
        </w:tc>
        <w:tc>
          <w:tcPr>
            <w:tcW w:type="dxa" w:w="9072"/>
            <w:tcMar>
              <w:top w:w="55" w:type="dxa"/>
              <w:start w:w="70" w:type="dxa"/>
              <w:bottom w:w="55" w:type="dxa"/>
              <w:end w:w="70" w:type="dxa"/>
            </w:tcMar>
            <w:tcBorders>
              <w:bottom w:val="single" w:sz="2" w:color="E1E6EA"/>
            </w:tcBorders>
          </w:tcPr>
          <w:p>
            <w:r>
              <w:rPr>
                <w:rFonts w:ascii="Aptos" w:hAnsi="Aptos"/>
                <w:b/>
                <w:color w:val="1F2933"/>
                <w:sz w:val="19"/>
              </w:rPr>
              <w:t>Who is legally responsible when government AI gives incorrect information?</w:t>
            </w:r>
          </w:p>
        </w:tc>
      </w:tr>
      <w:tr>
        <w:tc>
          <w:tcPr>
            <w:tcW w:type="dxa" w:w="792"/>
            <w:tcMar>
              <w:top w:w="55" w:type="dxa"/>
              <w:start w:w="70" w:type="dxa"/>
              <w:bottom w:w="55" w:type="dxa"/>
              <w:end w:w="70" w:type="dxa"/>
            </w:tcMar>
            <w:tcBorders>
              <w:bottom w:val="single" w:sz="2" w:color="E1E6EA"/>
            </w:tcBorders>
            <w:shd w:fill="0B6B75"/>
          </w:tcPr>
          <w:p>
            <w:pPr>
              <w:jc w:val="center"/>
            </w:pPr>
            <w:r>
              <w:rPr>
                <w:rFonts w:ascii="Aptos" w:hAnsi="Aptos"/>
                <w:b/>
                <w:color w:val="FFFFFF"/>
                <w:sz w:val="18"/>
              </w:rPr>
              <w:t>2</w:t>
            </w:r>
          </w:p>
        </w:tc>
        <w:tc>
          <w:tcPr>
            <w:tcW w:type="dxa" w:w="9072"/>
            <w:tcMar>
              <w:top w:w="55" w:type="dxa"/>
              <w:start w:w="70" w:type="dxa"/>
              <w:bottom w:w="55" w:type="dxa"/>
              <w:end w:w="70" w:type="dxa"/>
            </w:tcMar>
            <w:tcBorders>
              <w:bottom w:val="single" w:sz="2" w:color="E1E6EA"/>
            </w:tcBorders>
          </w:tcPr>
          <w:p>
            <w:r>
              <w:rPr>
                <w:rFonts w:ascii="Aptos" w:hAnsi="Aptos"/>
                <w:b/>
                <w:color w:val="1F2933"/>
                <w:sz w:val="19"/>
              </w:rPr>
              <w:t>Can a citizen demand review by a human being?</w:t>
            </w:r>
          </w:p>
        </w:tc>
      </w:tr>
      <w:tr>
        <w:tc>
          <w:tcPr>
            <w:tcW w:type="dxa" w:w="792"/>
            <w:tcMar>
              <w:top w:w="55" w:type="dxa"/>
              <w:start w:w="70" w:type="dxa"/>
              <w:bottom w:w="55" w:type="dxa"/>
              <w:end w:w="70" w:type="dxa"/>
            </w:tcMar>
            <w:tcBorders>
              <w:bottom w:val="single" w:sz="2" w:color="E1E6EA"/>
            </w:tcBorders>
            <w:shd w:fill="0B6B75"/>
          </w:tcPr>
          <w:p>
            <w:pPr>
              <w:jc w:val="center"/>
            </w:pPr>
            <w:r>
              <w:rPr>
                <w:rFonts w:ascii="Aptos" w:hAnsi="Aptos"/>
                <w:b/>
                <w:color w:val="FFFFFF"/>
                <w:sz w:val="18"/>
              </w:rPr>
              <w:t>3</w:t>
            </w:r>
          </w:p>
        </w:tc>
        <w:tc>
          <w:tcPr>
            <w:tcW w:type="dxa" w:w="9072"/>
            <w:tcMar>
              <w:top w:w="55" w:type="dxa"/>
              <w:start w:w="70" w:type="dxa"/>
              <w:bottom w:w="55" w:type="dxa"/>
              <w:end w:w="70" w:type="dxa"/>
            </w:tcMar>
            <w:tcBorders>
              <w:bottom w:val="single" w:sz="2" w:color="E1E6EA"/>
            </w:tcBorders>
          </w:tcPr>
          <w:p>
            <w:r>
              <w:rPr>
                <w:rFonts w:ascii="Aptos" w:hAnsi="Aptos"/>
                <w:b/>
                <w:color w:val="1F2933"/>
                <w:sz w:val="19"/>
              </w:rPr>
              <w:t>Can AI merely explain government rules, or can it actually make decisions?</w:t>
            </w:r>
          </w:p>
        </w:tc>
      </w:tr>
      <w:tr>
        <w:tc>
          <w:tcPr>
            <w:tcW w:type="dxa" w:w="792"/>
            <w:tcMar>
              <w:top w:w="55" w:type="dxa"/>
              <w:start w:w="70" w:type="dxa"/>
              <w:bottom w:w="55" w:type="dxa"/>
              <w:end w:w="70" w:type="dxa"/>
            </w:tcMar>
            <w:tcBorders>
              <w:bottom w:val="single" w:sz="2" w:color="E1E6EA"/>
            </w:tcBorders>
            <w:shd w:fill="0B6B75"/>
          </w:tcPr>
          <w:p>
            <w:pPr>
              <w:jc w:val="center"/>
            </w:pPr>
            <w:r>
              <w:rPr>
                <w:rFonts w:ascii="Aptos" w:hAnsi="Aptos"/>
                <w:b/>
                <w:color w:val="FFFFFF"/>
                <w:sz w:val="18"/>
              </w:rPr>
              <w:t>4</w:t>
            </w:r>
          </w:p>
        </w:tc>
        <w:tc>
          <w:tcPr>
            <w:tcW w:type="dxa" w:w="9072"/>
            <w:tcMar>
              <w:top w:w="55" w:type="dxa"/>
              <w:start w:w="70" w:type="dxa"/>
              <w:bottom w:w="55" w:type="dxa"/>
              <w:end w:w="70" w:type="dxa"/>
            </w:tcMar>
            <w:tcBorders>
              <w:bottom w:val="single" w:sz="2" w:color="E1E6EA"/>
            </w:tcBorders>
          </w:tcPr>
          <w:p>
            <w:r>
              <w:rPr>
                <w:rFonts w:ascii="Aptos" w:hAnsi="Aptos"/>
                <w:b/>
                <w:color w:val="1F2933"/>
                <w:sz w:val="19"/>
              </w:rPr>
              <w:t>How will personal data and identity information be protected?</w:t>
            </w:r>
          </w:p>
        </w:tc>
      </w:tr>
      <w:tr>
        <w:tc>
          <w:tcPr>
            <w:tcW w:type="dxa" w:w="792"/>
            <w:tcMar>
              <w:top w:w="55" w:type="dxa"/>
              <w:start w:w="70" w:type="dxa"/>
              <w:bottom w:w="55" w:type="dxa"/>
              <w:end w:w="70" w:type="dxa"/>
            </w:tcMar>
            <w:tcBorders>
              <w:bottom w:val="single" w:sz="2" w:color="E1E6EA"/>
            </w:tcBorders>
            <w:shd w:fill="0B6B75"/>
          </w:tcPr>
          <w:p>
            <w:pPr>
              <w:jc w:val="center"/>
            </w:pPr>
            <w:r>
              <w:rPr>
                <w:rFonts w:ascii="Aptos" w:hAnsi="Aptos"/>
                <w:b/>
                <w:color w:val="FFFFFF"/>
                <w:sz w:val="18"/>
              </w:rPr>
              <w:t>5</w:t>
            </w:r>
          </w:p>
        </w:tc>
        <w:tc>
          <w:tcPr>
            <w:tcW w:type="dxa" w:w="9072"/>
            <w:tcMar>
              <w:top w:w="55" w:type="dxa"/>
              <w:start w:w="70" w:type="dxa"/>
              <w:bottom w:w="55" w:type="dxa"/>
              <w:end w:w="70" w:type="dxa"/>
            </w:tcMar>
            <w:tcBorders>
              <w:bottom w:val="single" w:sz="2" w:color="E1E6EA"/>
            </w:tcBorders>
          </w:tcPr>
          <w:p>
            <w:r>
              <w:rPr>
                <w:rFonts w:ascii="Aptos" w:hAnsi="Aptos"/>
                <w:b/>
                <w:color w:val="1F2933"/>
                <w:sz w:val="19"/>
              </w:rPr>
              <w:t>Will citizens know when they are interacting with AI?</w:t>
            </w:r>
          </w:p>
        </w:tc>
      </w:tr>
      <w:tr>
        <w:tc>
          <w:tcPr>
            <w:tcW w:type="dxa" w:w="792"/>
            <w:tcMar>
              <w:top w:w="55" w:type="dxa"/>
              <w:start w:w="70" w:type="dxa"/>
              <w:bottom w:w="55" w:type="dxa"/>
              <w:end w:w="70" w:type="dxa"/>
            </w:tcMar>
            <w:tcBorders>
              <w:bottom w:val="single" w:sz="2" w:color="E1E6EA"/>
            </w:tcBorders>
            <w:shd w:fill="0B6B75"/>
          </w:tcPr>
          <w:p>
            <w:pPr>
              <w:jc w:val="center"/>
            </w:pPr>
            <w:r>
              <w:rPr>
                <w:rFonts w:ascii="Aptos" w:hAnsi="Aptos"/>
                <w:b/>
                <w:color w:val="FFFFFF"/>
                <w:sz w:val="18"/>
              </w:rPr>
              <w:t>6</w:t>
            </w:r>
          </w:p>
        </w:tc>
        <w:tc>
          <w:tcPr>
            <w:tcW w:type="dxa" w:w="9072"/>
            <w:tcMar>
              <w:top w:w="55" w:type="dxa"/>
              <w:start w:w="70" w:type="dxa"/>
              <w:bottom w:w="55" w:type="dxa"/>
              <w:end w:w="70" w:type="dxa"/>
            </w:tcMar>
            <w:tcBorders>
              <w:bottom w:val="single" w:sz="2" w:color="E1E6EA"/>
            </w:tcBorders>
          </w:tcPr>
          <w:p>
            <w:r>
              <w:rPr>
                <w:rFonts w:ascii="Aptos" w:hAnsi="Aptos"/>
                <w:b/>
                <w:color w:val="1F2933"/>
                <w:sz w:val="19"/>
              </w:rPr>
              <w:t>Can every important automated action be audited and reversed?</w:t>
            </w:r>
          </w:p>
        </w:tc>
      </w:tr>
      <w:tr>
        <w:tc>
          <w:tcPr>
            <w:tcW w:type="dxa" w:w="792"/>
            <w:tcMar>
              <w:top w:w="55" w:type="dxa"/>
              <w:start w:w="70" w:type="dxa"/>
              <w:bottom w:w="55" w:type="dxa"/>
              <w:end w:w="70" w:type="dxa"/>
            </w:tcMar>
            <w:tcBorders>
              <w:bottom w:val="single" w:sz="2" w:color="E1E6EA"/>
            </w:tcBorders>
            <w:shd w:fill="0B6B75"/>
          </w:tcPr>
          <w:p>
            <w:pPr>
              <w:jc w:val="center"/>
            </w:pPr>
            <w:r>
              <w:rPr>
                <w:rFonts w:ascii="Aptos" w:hAnsi="Aptos"/>
                <w:b/>
                <w:color w:val="FFFFFF"/>
                <w:sz w:val="18"/>
              </w:rPr>
              <w:t>7</w:t>
            </w:r>
          </w:p>
        </w:tc>
        <w:tc>
          <w:tcPr>
            <w:tcW w:type="dxa" w:w="9072"/>
            <w:tcMar>
              <w:top w:w="55" w:type="dxa"/>
              <w:start w:w="70" w:type="dxa"/>
              <w:bottom w:w="55" w:type="dxa"/>
              <w:end w:w="70" w:type="dxa"/>
            </w:tcMar>
            <w:tcBorders>
              <w:bottom w:val="single" w:sz="2" w:color="E1E6EA"/>
            </w:tcBorders>
          </w:tcPr>
          <w:p>
            <w:r>
              <w:rPr>
                <w:rFonts w:ascii="Aptos" w:hAnsi="Aptos"/>
                <w:b/>
                <w:color w:val="1F2933"/>
                <w:sz w:val="19"/>
              </w:rPr>
              <w:t>Can citizens still obtain essential government services if the AI system fails?</w:t>
            </w:r>
          </w:p>
        </w:tc>
      </w:tr>
    </w:tbl>
    <w:p>
      <w:pPr>
        <w:spacing w:before="160" w:after="40"/>
      </w:pPr>
      <w:r>
        <w:rPr>
          <w:rFonts w:ascii="Aptos" w:hAnsi="Aptos"/>
          <w:b/>
          <w:color w:val="0B6B75"/>
          <w:sz w:val="17"/>
        </w:rPr>
        <w:t>CONCEPTUAL FRAMEWORK</w:t>
      </w:r>
    </w:p>
    <w:p>
      <w:pPr>
        <w:keepNext/>
        <w:spacing w:before="80" w:after="100"/>
      </w:pPr>
      <w:r>
        <w:rPr>
          <w:rFonts w:ascii="Aptos" w:hAnsi="Aptos"/>
          <w:b/>
          <w:color w:val="17324D"/>
          <w:sz w:val="34"/>
        </w:rPr>
        <w:t>The Bigger Story: Governance of AI vs. Governance With AI</w:t>
      </w:r>
    </w:p>
    <w:tbl>
      <w:tblPr>
        <w:tblW w:type="auto" w:w="0"/>
        <w:jc w:val="center"/>
        <w:tblLayout w:type="fixed"/>
        <w:tblLook w:firstColumn="1" w:firstRow="1" w:lastColumn="0" w:lastRow="0" w:noHBand="0" w:noVBand="1" w:val="04A0"/>
      </w:tblPr>
      <w:tblGrid>
        <w:gridCol w:w="4824"/>
        <w:gridCol w:w="4824"/>
      </w:tblGrid>
      <w:tr>
        <w:tc>
          <w:tcPr>
            <w:tcW w:type="dxa" w:w="5040"/>
            <w:shd w:fill="E9F3F4"/>
            <w:tcMar>
              <w:top w:w="120" w:type="dxa"/>
              <w:start w:w="130" w:type="dxa"/>
              <w:bottom w:w="120" w:type="dxa"/>
              <w:end w:w="130" w:type="dxa"/>
            </w:tcMar>
          </w:tcPr>
          <w:p>
            <w:r>
              <w:rPr>
                <w:rFonts w:ascii="Aptos" w:hAnsi="Aptos"/>
                <w:b/>
                <w:color w:val="0B6B75"/>
                <w:sz w:val="20"/>
              </w:rPr>
              <w:t>GOVERNANCE OF AI</w:t>
            </w:r>
          </w:p>
          <w:p>
            <w:r>
              <w:rPr>
                <w:rFonts w:ascii="Aptos" w:hAnsi="Aptos"/>
                <w:color w:val="1F2933"/>
                <w:sz w:val="18"/>
              </w:rPr>
              <w:t>What rules should governments impose on artificial intelligence? This is the central issue in the U.S.–China guardrails debate.</w:t>
            </w:r>
          </w:p>
        </w:tc>
        <w:tc>
          <w:tcPr>
            <w:tcW w:type="dxa" w:w="5040"/>
            <w:shd w:fill="EDF1F6"/>
            <w:tcMar>
              <w:top w:w="120" w:type="dxa"/>
              <w:start w:w="130" w:type="dxa"/>
              <w:bottom w:w="120" w:type="dxa"/>
              <w:end w:w="130" w:type="dxa"/>
            </w:tcMar>
          </w:tcPr>
          <w:p>
            <w:r>
              <w:rPr>
                <w:rFonts w:ascii="Aptos" w:hAnsi="Aptos"/>
                <w:b/>
                <w:color w:val="17324D"/>
                <w:sz w:val="20"/>
              </w:rPr>
              <w:t>GOVERNANCE WITH AI</w:t>
            </w:r>
          </w:p>
          <w:p>
            <w:r>
              <w:rPr>
                <w:rFonts w:ascii="Aptos" w:hAnsi="Aptos"/>
                <w:color w:val="1F2933"/>
                <w:sz w:val="18"/>
              </w:rPr>
              <w:t>What governmental responsibilities should be performed, mediated, or delegated through artificial intelligence? This is the issue raised by an AI-centered government-services portal.</w:t>
            </w:r>
          </w:p>
        </w:tc>
      </w:tr>
    </w:tbl>
    <w:p>
      <w:pPr>
        <w:spacing w:after="140" w:line="259" w:lineRule="auto"/>
      </w:pPr>
      <w:r>
        <w:rPr>
          <w:rFonts w:ascii="Aptos" w:hAnsi="Aptos"/>
          <w:color w:val="1F2933"/>
          <w:sz w:val="21"/>
        </w:rPr>
        <w:t>The distinction matters because AI assisting a government employee is not the same as AI providing information directly to citizens; AI recommending a decision is different again; and AI independently determining rights, benefits, obligations, or legal status would represent a far deeper transfer of institutional authority.</w:t>
      </w:r>
    </w:p>
    <w:tbl>
      <w:tblPr>
        <w:tblW w:type="auto" w:w="0"/>
        <w:jc w:val="center"/>
        <w:tblLayout w:type="fixed"/>
        <w:tblLook w:firstColumn="1" w:firstRow="1" w:lastColumn="0" w:lastRow="0" w:noHBand="0" w:noVBand="1" w:val="04A0"/>
      </w:tblPr>
      <w:tblGrid>
        <w:gridCol w:w="9936"/>
      </w:tblGrid>
      <w:tr>
        <w:tc>
          <w:tcPr>
            <w:tcW w:type="dxa" w:w="10080"/>
            <w:shd w:fill="E8F1F3"/>
            <w:tcMar>
              <w:top w:w="110" w:type="dxa"/>
              <w:start w:w="140" w:type="dxa"/>
              <w:bottom w:w="110" w:type="dxa"/>
              <w:end w:w="140" w:type="dxa"/>
            </w:tcMar>
            <w:tcBorders>
              <w:top w:val="nil"/>
              <w:left w:val="single" w:sz="18" w:color="0B6B75"/>
              <w:bottom w:val="nil"/>
              <w:right w:val="nil"/>
            </w:tcBorders>
          </w:tcPr>
          <w:p>
            <w:pPr>
              <w:spacing w:after="60"/>
            </w:pPr>
            <w:r>
              <w:rPr>
                <w:rFonts w:ascii="Aptos" w:hAnsi="Aptos"/>
                <w:b/>
                <w:color w:val="0B6B75"/>
                <w:sz w:val="18"/>
              </w:rPr>
              <w:t>AI LAKAY NOU HUMAN-CENTERED PRINCIPLE</w:t>
            </w:r>
          </w:p>
          <w:p>
            <w:pPr>
              <w:spacing w:after="0"/>
            </w:pPr>
            <w:r>
              <w:rPr>
                <w:rFonts w:ascii="Aptos" w:hAnsi="Aptos"/>
                <w:b/>
                <w:color w:val="1F2933"/>
                <w:sz w:val="21"/>
              </w:rPr>
              <w:t>Artificial intelligence may assist human beings, institutions, and governments, but humans must retain ultimate authority, accountability, meaningful oversight, reversibility, and the ability to function when AI is unavailable.</w:t>
            </w:r>
          </w:p>
        </w:tc>
      </w:tr>
    </w:tbl>
    <w:p>
      <w:pPr>
        <w:spacing w:after="20"/>
      </w:pPr>
    </w:p>
    <w:p>
      <w:pPr>
        <w:spacing w:before="160" w:after="40"/>
      </w:pPr>
      <w:r>
        <w:rPr>
          <w:rFonts w:ascii="Aptos" w:hAnsi="Aptos"/>
          <w:b/>
          <w:color w:val="0B6B75"/>
          <w:sz w:val="17"/>
        </w:rPr>
        <w:t>GLOBAL RELEVANCE</w:t>
      </w:r>
    </w:p>
    <w:p>
      <w:pPr>
        <w:keepNext/>
        <w:spacing w:before="80" w:after="100"/>
      </w:pPr>
      <w:r>
        <w:rPr>
          <w:rFonts w:ascii="Aptos" w:hAnsi="Aptos"/>
          <w:b/>
          <w:color w:val="17324D"/>
          <w:sz w:val="34"/>
        </w:rPr>
        <w:t>Why This Matters to Haiti, the Haitian Diaspora, and the Global South</w:t>
      </w:r>
    </w:p>
    <w:p>
      <w:pPr>
        <w:spacing w:after="140" w:line="259" w:lineRule="auto"/>
      </w:pPr>
      <w:r>
        <w:rPr>
          <w:rFonts w:ascii="Aptos" w:hAnsi="Aptos"/>
          <w:color w:val="1F2933"/>
          <w:sz w:val="21"/>
        </w:rPr>
        <w:t>This debate is not limited to Washington and Beijing. Countries including Haiti will eventually face the same questions about passports, customs, schools, public benefits, elections, policing, immigration, health information, and administrative services.</w:t>
      </w:r>
    </w:p>
    <w:p>
      <w:pPr>
        <w:spacing w:after="140" w:line="259" w:lineRule="auto"/>
      </w:pPr>
      <w:r>
        <w:rPr>
          <w:rFonts w:ascii="Aptos" w:hAnsi="Aptos"/>
          <w:color w:val="1F2933"/>
          <w:sz w:val="21"/>
        </w:rPr>
        <w:t>For countries with limited administrative capacity, AI could improve service delivery, reduce costs, support multilingual access, and extend scarce professional expertise. But weaker institutions may also face greater risks from poorly supervised automation, limited cybersecurity, weak data protection, vendor dependency, or inadequate avenues for appeal.</w:t>
      </w:r>
    </w:p>
    <w:tbl>
      <w:tblPr>
        <w:tblW w:type="auto" w:w="0"/>
        <w:jc w:val="center"/>
        <w:tblLayout w:type="fixed"/>
        <w:tblLook w:firstColumn="1" w:firstRow="1" w:lastColumn="0" w:lastRow="0" w:noHBand="0" w:noVBand="1" w:val="04A0"/>
      </w:tblPr>
      <w:tblGrid>
        <w:gridCol w:w="9936"/>
      </w:tblGrid>
      <w:tr>
        <w:tc>
          <w:tcPr>
            <w:tcW w:type="dxa" w:w="10080"/>
            <w:shd w:fill="F5F0E4"/>
            <w:tcMar>
              <w:top w:w="110" w:type="dxa"/>
              <w:start w:w="140" w:type="dxa"/>
              <w:bottom w:w="110" w:type="dxa"/>
              <w:end w:w="140" w:type="dxa"/>
            </w:tcMar>
            <w:tcBorders>
              <w:top w:val="nil"/>
              <w:left w:val="single" w:sz="18" w:color="B58B2A"/>
              <w:bottom w:val="nil"/>
              <w:right w:val="nil"/>
            </w:tcBorders>
          </w:tcPr>
          <w:p>
            <w:pPr>
              <w:spacing w:after="60"/>
            </w:pPr>
            <w:r>
              <w:rPr>
                <w:rFonts w:ascii="Aptos" w:hAnsi="Aptos"/>
                <w:b/>
                <w:color w:val="B58B2A"/>
                <w:sz w:val="18"/>
              </w:rPr>
              <w:t>POLICY OBJECTIVE</w:t>
            </w:r>
          </w:p>
          <w:p>
            <w:pPr>
              <w:spacing w:after="0"/>
            </w:pPr>
            <w:r>
              <w:rPr>
                <w:rFonts w:ascii="Aptos" w:hAnsi="Aptos"/>
                <w:b/>
                <w:color w:val="1F2933"/>
                <w:sz w:val="21"/>
              </w:rPr>
              <w:t>The goal should not simply be “Adopt AI.” It should be to build the human knowledge, institutional capacity, infrastructure, cybersecurity, legal safeguards, multilingual access, and AI literacy required to use AI without surrendering human authority.</w:t>
            </w:r>
          </w:p>
        </w:tc>
      </w:tr>
    </w:tbl>
    <w:p>
      <w:pPr>
        <w:spacing w:after="20"/>
      </w:pPr>
    </w:p>
    <w:p>
      <w:pPr>
        <w:spacing w:before="160" w:after="40"/>
      </w:pPr>
      <w:r>
        <w:rPr>
          <w:rFonts w:ascii="Aptos" w:hAnsi="Aptos"/>
          <w:b/>
          <w:color w:val="0B6B75"/>
          <w:sz w:val="17"/>
        </w:rPr>
        <w:t>FOR READERS</w:t>
      </w:r>
    </w:p>
    <w:p>
      <w:pPr>
        <w:keepNext/>
        <w:spacing w:before="80" w:after="100"/>
      </w:pPr>
      <w:r>
        <w:rPr>
          <w:rFonts w:ascii="Aptos" w:hAnsi="Aptos"/>
          <w:b/>
          <w:color w:val="17324D"/>
          <w:sz w:val="34"/>
        </w:rPr>
        <w:t>The Question of the Week</w:t>
      </w:r>
    </w:p>
    <w:p>
      <w:pPr>
        <w:spacing w:before="80" w:after="80"/>
        <w:jc w:val="center"/>
      </w:pPr>
      <w:r>
        <w:rPr>
          <w:rFonts w:ascii="Aptos" w:hAnsi="Aptos"/>
          <w:b/>
          <w:color w:val="17324D"/>
          <w:sz w:val="32"/>
        </w:rPr>
        <w:t>How much authority are we prepared to give artificial intelligence?</w:t>
      </w:r>
    </w:p>
    <w:p>
      <w:pPr>
        <w:spacing w:after="160"/>
        <w:jc w:val="center"/>
      </w:pPr>
      <w:r>
        <w:rPr>
          <w:rFonts w:ascii="Aptos" w:hAnsi="Aptos"/>
          <w:b/>
          <w:color w:val="0B6B75"/>
          <w:sz w:val="28"/>
        </w:rPr>
        <w:t>And what authority should humanity never give away?</w:t>
      </w:r>
    </w:p>
    <w:p>
      <w:pPr>
        <w:spacing w:after="140" w:line="259" w:lineRule="auto"/>
      </w:pPr>
      <w:r>
        <w:rPr>
          <w:rFonts w:ascii="Aptos" w:hAnsi="Aptos"/>
          <w:color w:val="1F2933"/>
          <w:sz w:val="21"/>
        </w:rPr>
        <w:t>The AI revolution is no longer only about faster computers or smarter chatbots. It is increasingly about power, authority, responsibility, and the future relationship between humans and machines. That conversation belongs not only to Silicon Valley, Washington, or Beijing. It belongs to all of us.</w:t>
      </w:r>
    </w:p>
    <w:tbl>
      <w:tblPr>
        <w:tblW w:type="auto" w:w="0"/>
        <w:jc w:val="center"/>
        <w:tblLayout w:type="fixed"/>
        <w:tblLook w:firstColumn="1" w:firstRow="1" w:lastColumn="0" w:lastRow="0" w:noHBand="0" w:noVBand="1" w:val="04A0"/>
      </w:tblPr>
      <w:tblGrid>
        <w:gridCol w:w="9936"/>
      </w:tblGrid>
      <w:tr>
        <w:tc>
          <w:tcPr>
            <w:tcW w:type="dxa" w:w="10080"/>
            <w:shd w:fill="17324D"/>
            <w:tcMar>
              <w:top w:w="130" w:type="dxa"/>
              <w:start w:w="150" w:type="dxa"/>
              <w:bottom w:w="130" w:type="dxa"/>
              <w:end w:w="150" w:type="dxa"/>
            </w:tcMar>
          </w:tcPr>
          <w:p>
            <w:pPr>
              <w:jc w:val="center"/>
            </w:pPr>
            <w:r>
              <w:rPr>
                <w:rFonts w:ascii="Aptos" w:hAnsi="Aptos"/>
                <w:b/>
                <w:color w:val="FFFFFF"/>
                <w:sz w:val="32"/>
              </w:rPr>
              <w:t>AI LAKAY NOU</w:t>
            </w:r>
          </w:p>
          <w:p>
            <w:pPr>
              <w:jc w:val="center"/>
            </w:pPr>
            <w:r>
              <w:rPr>
                <w:rFonts w:ascii="Aptos" w:hAnsi="Aptos"/>
                <w:color w:val="DCEAF0"/>
                <w:sz w:val="18"/>
              </w:rPr>
              <w:t>Artificial Intelligence Education for Haiti, the Haitian Diaspora, and the Global Community</w:t>
            </w:r>
          </w:p>
          <w:p>
            <w:pPr>
              <w:jc w:val="center"/>
            </w:pPr>
            <w:r>
              <w:rPr>
                <w:rFonts w:ascii="Aptos" w:hAnsi="Aptos"/>
                <w:b/>
                <w:color w:val="F1DFAE"/>
                <w:sz w:val="18"/>
              </w:rPr>
              <w:t>Natural Intelligence First. Artificial Intelligence Second.</w:t>
            </w:r>
          </w:p>
        </w:tc>
      </w:tr>
    </w:tbl>
    <w:p>
      <w:r>
        <w:br w:type="page"/>
      </w:r>
    </w:p>
    <w:p>
      <w:pPr>
        <w:spacing w:before="160" w:after="40"/>
      </w:pPr>
      <w:r>
        <w:rPr>
          <w:rFonts w:ascii="Aptos" w:hAnsi="Aptos"/>
          <w:b/>
          <w:color w:val="0B6B75"/>
          <w:sz w:val="17"/>
        </w:rPr>
        <w:t>DOCUMENTATION</w:t>
      </w:r>
    </w:p>
    <w:p>
      <w:pPr>
        <w:keepNext/>
        <w:spacing w:before="80" w:after="100"/>
      </w:pPr>
      <w:r>
        <w:rPr>
          <w:rFonts w:ascii="Aptos" w:hAnsi="Aptos"/>
          <w:b/>
          <w:color w:val="17324D"/>
          <w:sz w:val="34"/>
        </w:rPr>
        <w:t>Sources and Verification Notes</w:t>
      </w:r>
    </w:p>
    <w:p>
      <w:pPr>
        <w:spacing w:after="100"/>
      </w:pPr>
      <w:r>
        <w:rPr>
          <w:rFonts w:ascii="Aptos" w:hAnsi="Aptos"/>
          <w:b/>
          <w:color w:val="17324D"/>
          <w:sz w:val="18"/>
        </w:rPr>
        <w:t xml:space="preserve">The Wall Street Journal — September 18, 2026: </w:t>
      </w:r>
      <w:r>
        <w:rPr>
          <w:rFonts w:ascii="Aptos" w:hAnsi="Aptos"/>
          <w:color w:val="1F2933"/>
          <w:sz w:val="18"/>
        </w:rPr>
        <w:t xml:space="preserve">The U.S. and China Want AI Guardrails. But Their Ideas Couldn’t Be More Different. </w:t>
      </w:r>
      <w:hyperlink r:id="rId11">
        <w:r>
          <w:rPr>
            <w:color w:val="0B6B75"/>
            <w:u w:val="single"/>
          </w:rPr>
          <w:t>Source link</w:t>
        </w:r>
      </w:hyperlink>
    </w:p>
    <w:p>
      <w:pPr>
        <w:spacing w:after="100"/>
      </w:pPr>
      <w:r>
        <w:rPr>
          <w:rFonts w:ascii="Aptos" w:hAnsi="Aptos"/>
          <w:b/>
          <w:color w:val="17324D"/>
          <w:sz w:val="18"/>
        </w:rPr>
        <w:t xml:space="preserve">The Washington Sun — September 17, 2026: </w:t>
      </w:r>
      <w:r>
        <w:rPr>
          <w:rFonts w:ascii="Aptos" w:hAnsi="Aptos"/>
          <w:color w:val="1F2933"/>
          <w:sz w:val="18"/>
        </w:rPr>
        <w:t xml:space="preserve">Trump Aides Are Prepping an AI Takeover of Government Services. </w:t>
      </w:r>
      <w:hyperlink r:id="rId12">
        <w:r>
          <w:rPr>
            <w:color w:val="0B6B75"/>
            <w:u w:val="single"/>
          </w:rPr>
          <w:t>Source link</w:t>
        </w:r>
      </w:hyperlink>
    </w:p>
    <w:p>
      <w:pPr>
        <w:spacing w:after="100"/>
      </w:pPr>
      <w:r>
        <w:rPr>
          <w:rFonts w:ascii="Aptos" w:hAnsi="Aptos"/>
          <w:b/>
          <w:color w:val="17324D"/>
          <w:sz w:val="18"/>
        </w:rPr>
        <w:t xml:space="preserve">The New Republic — September 17, 2026: </w:t>
      </w:r>
      <w:r>
        <w:rPr>
          <w:rFonts w:ascii="Aptos" w:hAnsi="Aptos"/>
          <w:color w:val="1F2933"/>
          <w:sz w:val="18"/>
        </w:rPr>
        <w:t xml:space="preserve">DOGE Staffers—Including “Big Balls”—Are Back to Add AI to Government. </w:t>
      </w:r>
      <w:hyperlink r:id="rId13">
        <w:r>
          <w:rPr>
            <w:color w:val="0B6B75"/>
            <w:u w:val="single"/>
          </w:rPr>
          <w:t>Source link</w:t>
        </w:r>
      </w:hyperlink>
    </w:p>
    <w:p>
      <w:pPr>
        <w:spacing w:after="100"/>
      </w:pPr>
      <w:r>
        <w:rPr>
          <w:rFonts w:ascii="Aptos" w:hAnsi="Aptos"/>
          <w:b/>
          <w:color w:val="17324D"/>
          <w:sz w:val="18"/>
        </w:rPr>
        <w:t xml:space="preserve">The White House — July 2025: </w:t>
      </w:r>
      <w:r>
        <w:rPr>
          <w:rFonts w:ascii="Aptos" w:hAnsi="Aptos"/>
          <w:color w:val="1F2933"/>
          <w:sz w:val="18"/>
        </w:rPr>
        <w:t xml:space="preserve">America’s AI Action Plan. </w:t>
      </w:r>
      <w:hyperlink r:id="rId14">
        <w:r>
          <w:rPr>
            <w:color w:val="0B6B75"/>
            <w:u w:val="single"/>
          </w:rPr>
          <w:t>Source link</w:t>
        </w:r>
      </w:hyperlink>
    </w:p>
    <w:p>
      <w:pPr>
        <w:spacing w:after="100"/>
      </w:pPr>
      <w:r>
        <w:rPr>
          <w:rFonts w:ascii="Aptos" w:hAnsi="Aptos"/>
          <w:b/>
          <w:color w:val="17324D"/>
          <w:sz w:val="18"/>
        </w:rPr>
        <w:t xml:space="preserve">Cyberspace Administration of China — July 2023: </w:t>
      </w:r>
      <w:r>
        <w:rPr>
          <w:rFonts w:ascii="Aptos" w:hAnsi="Aptos"/>
          <w:color w:val="1F2933"/>
          <w:sz w:val="18"/>
        </w:rPr>
        <w:t xml:space="preserve">Interim Measures for the Management of Generative Artificial Intelligence Services. </w:t>
      </w:r>
      <w:hyperlink r:id="rId15">
        <w:r>
          <w:rPr>
            <w:color w:val="0B6B75"/>
            <w:u w:val="single"/>
          </w:rPr>
          <w:t>Source link</w:t>
        </w:r>
      </w:hyperlink>
    </w:p>
    <w:p>
      <w:pPr>
        <w:spacing w:after="100"/>
      </w:pPr>
      <w:r>
        <w:rPr>
          <w:rFonts w:ascii="Aptos" w:hAnsi="Aptos"/>
          <w:b/>
          <w:color w:val="17324D"/>
          <w:sz w:val="18"/>
        </w:rPr>
        <w:t xml:space="preserve">Ministry of Foreign Affairs of the People’s Republic of China — July 2026: </w:t>
      </w:r>
      <w:r>
        <w:rPr>
          <w:rFonts w:ascii="Aptos" w:hAnsi="Aptos"/>
          <w:color w:val="1F2933"/>
          <w:sz w:val="18"/>
        </w:rPr>
        <w:t xml:space="preserve">AI governance framework and related official materials. </w:t>
      </w:r>
      <w:hyperlink r:id="rId16">
        <w:r>
          <w:rPr>
            <w:color w:val="0B6B75"/>
            <w:u w:val="single"/>
          </w:rPr>
          <w:t>Source link</w:t>
        </w:r>
      </w:hyperlink>
    </w:p>
    <w:tbl>
      <w:tblPr>
        <w:tblW w:type="auto" w:w="0"/>
        <w:jc w:val="center"/>
        <w:tblLayout w:type="fixed"/>
        <w:tblLook w:firstColumn="1" w:firstRow="1" w:lastColumn="0" w:lastRow="0" w:noHBand="0" w:noVBand="1" w:val="04A0"/>
      </w:tblPr>
      <w:tblGrid>
        <w:gridCol w:w="9936"/>
      </w:tblGrid>
      <w:tr>
        <w:tc>
          <w:tcPr>
            <w:tcW w:type="dxa" w:w="10080"/>
            <w:shd w:fill="F7F8FA"/>
            <w:tcMar>
              <w:top w:w="110" w:type="dxa"/>
              <w:start w:w="140" w:type="dxa"/>
              <w:bottom w:w="110" w:type="dxa"/>
              <w:end w:w="140" w:type="dxa"/>
            </w:tcMar>
            <w:tcBorders>
              <w:top w:val="nil"/>
              <w:left w:val="single" w:sz="18" w:color="5E6C78"/>
              <w:bottom w:val="nil"/>
              <w:right w:val="nil"/>
            </w:tcBorders>
          </w:tcPr>
          <w:p>
            <w:pPr>
              <w:spacing w:after="60"/>
            </w:pPr>
            <w:r>
              <w:rPr>
                <w:rFonts w:ascii="Aptos" w:hAnsi="Aptos"/>
                <w:b/>
                <w:color w:val="5E6C78"/>
                <w:sz w:val="18"/>
              </w:rPr>
              <w:t>EDITORIAL VERIFICATION NOTE</w:t>
            </w:r>
          </w:p>
          <w:p>
            <w:pPr>
              <w:spacing w:after="0"/>
            </w:pPr>
            <w:r>
              <w:rPr>
                <w:rFonts w:ascii="Aptos" w:hAnsi="Aptos"/>
                <w:b/>
                <w:color w:val="1F2933"/>
                <w:sz w:val="21"/>
              </w:rPr>
              <w:t>This special report distinguishes confirmed government policy, published reporting, and analysis. America.gov is described as a reported developing initiative rather than an established nationwide federal AI service. The New Republic headline is treated as editorial framing; the underlying factual claims are attributed to the cited reporting.</w:t>
            </w:r>
          </w:p>
        </w:tc>
      </w:tr>
    </w:tbl>
    <w:p>
      <w:pPr>
        <w:spacing w:after="20"/>
      </w:pPr>
    </w:p>
    <w:p>
      <w:pPr>
        <w:spacing w:before="160"/>
        <w:jc w:val="center"/>
      </w:pPr>
      <w:r>
        <w:rPr>
          <w:rFonts w:ascii="Aptos" w:hAnsi="Aptos"/>
          <w:i/>
          <w:color w:val="5E6C78"/>
          <w:sz w:val="16"/>
        </w:rPr>
        <w:t>Website publication edition prepared for AILakayNou.com</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E6C78"/>
        <w:sz w:val="15"/>
      </w:rPr>
      <w:t xml:space="preserve">AILakayNou.com  •  Artificial Intelligence Education for Haiti, the Haitian Diaspora, and the Global Community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5040"/>
      <w:gridCol w:w="5040"/>
    </w:tblGrid>
    <w:tr>
      <w:tc>
        <w:tcPr>
          <w:tcW w:type="dxa" w:w="5040"/>
          <w:tcMar>
            <w:top w:w="0" w:type="dxa"/>
            <w:start w:w="0" w:type="dxa"/>
            <w:bottom w:w="20" w:type="dxa"/>
            <w:end w:w="0" w:type="dxa"/>
          </w:tcMar>
          <w:tcBorders>
            <w:bottom w:val="single" w:sz="6" w:color="D7E0E5"/>
          </w:tcBorders>
        </w:tcPr>
        <w:p>
          <w:r>
            <w:rPr>
              <w:rFonts w:ascii="Aptos" w:hAnsi="Aptos"/>
              <w:b/>
              <w:color w:val="0B6B75"/>
              <w:sz w:val="17"/>
            </w:rPr>
            <w:t>AI LAKAY NOU</w:t>
          </w:r>
        </w:p>
      </w:tc>
      <w:tc>
        <w:tcPr>
          <w:tcW w:type="dxa" w:w="5040"/>
          <w:tcMar>
            <w:top w:w="0" w:type="dxa"/>
            <w:start w:w="0" w:type="dxa"/>
            <w:bottom w:w="20" w:type="dxa"/>
            <w:end w:w="0" w:type="dxa"/>
          </w:tcMar>
          <w:tcBorders>
            <w:bottom w:val="single" w:sz="6" w:color="D7E0E5"/>
          </w:tcBorders>
        </w:tcPr>
        <w:p>
          <w:pPr>
            <w:jc w:val="right"/>
          </w:pPr>
          <w:r>
            <w:rPr>
              <w:rFonts w:ascii="Aptos" w:hAnsi="Aptos"/>
              <w:color w:val="5E6C78"/>
              <w:sz w:val="16"/>
            </w:rPr>
            <w:t>SPECIAL NEWS DISPATCH  |  AILakayNou.com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wsj.com/world/china/u-s-and-china-agree-ai-needs-guardrails-their-ideas-are-very-different-845415ff" TargetMode="External"/><Relationship Id="rId12" Type="http://schemas.openxmlformats.org/officeDocument/2006/relationships/hyperlink" Target="https://www.washingtonsun.com/trump-white-house/trump-aides-ai-takeover-america-gov-passport-direct-file" TargetMode="External"/><Relationship Id="rId13" Type="http://schemas.openxmlformats.org/officeDocument/2006/relationships/hyperlink" Target="https://newrepublic.com/post/215538/doge-staffers-big-balls-ai-government-services" TargetMode="External"/><Relationship Id="rId14" Type="http://schemas.openxmlformats.org/officeDocument/2006/relationships/hyperlink" Target="https://www.whitehouse.gov/wp-content/uploads/2025/07/Americas-AI-Action-Plan.pdf" TargetMode="External"/><Relationship Id="rId15" Type="http://schemas.openxmlformats.org/officeDocument/2006/relationships/hyperlink" Target="https://www.cac.gov.cn/2023-07/13/c_1690898327029107.htm" TargetMode="External"/><Relationship Id="rId16" Type="http://schemas.openxmlformats.org/officeDocument/2006/relationships/hyperlink" Target="https://www.fmprc.gov.cn/eng/xw/zyxw/202607/t20260717_119847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